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charts/chart24.xml" ContentType="application/vnd.openxmlformats-officedocument.drawingml.chart+xml"/>
  <Override PartName="/word/theme/theme1.xml" ContentType="application/vnd.openxmlformats-officedocument.them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5.xml" ContentType="application/vnd.openxmlformats-officedocument.drawingml.chart+xml"/>
  <Override PartName="/word/charts/chart19.xml" ContentType="application/vnd.openxmlformats-officedocument.drawingml.chart+xml"/>
  <Override PartName="/word/charts/chart18.xml" ContentType="application/vnd.openxmlformats-officedocument.drawingml.chart+xml"/>
  <Override PartName="/word/charts/chart17.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6.xml" ContentType="application/vnd.openxmlformats-officedocument.drawingml.chart+xml"/>
  <Override PartName="/word/charts/chart6.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0.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2.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CCB" w:rsidRDefault="00006DBA" w:rsidP="006140F8">
      <w:r>
        <w:rPr>
          <w:noProof/>
        </w:rPr>
        <mc:AlternateContent>
          <mc:Choice Requires="wps">
            <w:drawing>
              <wp:anchor distT="0" distB="0" distL="114300" distR="114300" simplePos="0" relativeHeight="251657728" behindDoc="0" locked="0" layoutInCell="1" allowOverlap="1">
                <wp:simplePos x="0" y="0"/>
                <wp:positionH relativeFrom="column">
                  <wp:posOffset>10160</wp:posOffset>
                </wp:positionH>
                <wp:positionV relativeFrom="paragraph">
                  <wp:posOffset>2887345</wp:posOffset>
                </wp:positionV>
                <wp:extent cx="2298065" cy="659765"/>
                <wp:effectExtent l="19685" t="20320" r="15875" b="24765"/>
                <wp:wrapNone/>
                <wp:docPr id="7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065" cy="659765"/>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6128" w:rsidRDefault="007D6128" w:rsidP="003C21CB">
                            <w:pPr>
                              <w:pStyle w:val="Title"/>
                            </w:pPr>
                            <w:bookmarkStart w:id="0" w:name="_Toc268613483"/>
                            <w:bookmarkStart w:id="1" w:name="_Toc268679152"/>
                            <w:bookmarkStart w:id="2" w:name="_Toc268692203"/>
                            <w:bookmarkStart w:id="3" w:name="_Toc269974574"/>
                            <w:bookmarkStart w:id="4" w:name="_Toc313541989"/>
                            <w:bookmarkStart w:id="5" w:name="_Toc327366845"/>
                            <w:bookmarkStart w:id="6" w:name="_Toc327366906"/>
                            <w:r>
                              <w:t>Before</w:t>
                            </w:r>
                            <w:bookmarkEnd w:id="0"/>
                            <w:bookmarkEnd w:id="1"/>
                            <w:bookmarkEnd w:id="2"/>
                            <w:bookmarkEnd w:id="3"/>
                            <w:bookmarkEnd w:id="4"/>
                            <w:bookmarkEnd w:id="5"/>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6" style="position:absolute;margin-left:.8pt;margin-top:227.35pt;width:180.95pt;height:5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" strokecolor="#c0504d" strokeweight="2.5pt">
                <v:shadow color="#868686"/>
                <v:textbox>
                  <w:txbxContent>
                    <w:p w:rsidR="007D6128" w:rsidRDefault="007D6128" w:rsidP="003C21CB">
                      <w:pPr>
                        <w:pStyle w:val="Title"/>
                      </w:pPr>
                      <w:bookmarkStart w:id="7" w:name="_Toc268613483"/>
                      <w:bookmarkStart w:id="8" w:name="_Toc268679152"/>
                      <w:bookmarkStart w:id="9" w:name="_Toc268692203"/>
                      <w:bookmarkStart w:id="10" w:name="_Toc269974574"/>
                      <w:bookmarkStart w:id="11" w:name="_Toc313541989"/>
                      <w:bookmarkStart w:id="12" w:name="_Toc327366845"/>
                      <w:bookmarkStart w:id="13" w:name="_Toc327366906"/>
                      <w:r>
                        <w:t>Before</w:t>
                      </w:r>
                      <w:bookmarkEnd w:id="7"/>
                      <w:bookmarkEnd w:id="8"/>
                      <w:bookmarkEnd w:id="9"/>
                      <w:bookmarkEnd w:id="10"/>
                      <w:bookmarkEnd w:id="11"/>
                      <w:bookmarkEnd w:id="12"/>
                      <w:bookmarkEnd w:id="13"/>
                    </w:p>
                  </w:txbxContent>
                </v:textbox>
              </v:roundrect>
            </w:pict>
          </mc:Fallback>
        </mc:AlternateContent>
      </w:r>
      <w:r>
        <w:rPr>
          <w:noProof/>
        </w:rPr>
        <mc:AlternateContent>
          <mc:Choice Requires="wpg">
            <w:drawing>
              <wp:anchor distT="0" distB="0" distL="114300" distR="114300" simplePos="0" relativeHeight="251656704" behindDoc="0" locked="0" layoutInCell="0" allowOverlap="1">
                <wp:simplePos x="0" y="0"/>
                <wp:positionH relativeFrom="page">
                  <wp:posOffset>5756910</wp:posOffset>
                </wp:positionH>
                <wp:positionV relativeFrom="page">
                  <wp:posOffset>515620</wp:posOffset>
                </wp:positionV>
                <wp:extent cx="2874645" cy="8691880"/>
                <wp:effectExtent l="13335" t="10795" r="7620" b="12700"/>
                <wp:wrapNone/>
                <wp:docPr id="7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4645" cy="8691880"/>
                          <a:chOff x="353" y="370"/>
                          <a:chExt cx="4623" cy="7108"/>
                        </a:xfrm>
                      </wpg:grpSpPr>
                      <wps:wsp>
                        <wps:cNvPr id="75" name="Rectangle 4"/>
                        <wps:cNvSpPr>
                          <a:spLocks noChangeArrowheads="1"/>
                        </wps:cNvSpPr>
                        <wps:spPr bwMode="auto">
                          <a:xfrm>
                            <a:off x="1794" y="370"/>
                            <a:ext cx="1296" cy="7108"/>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D6128" w:rsidRPr="001C6CCB" w:rsidRDefault="007D6128" w:rsidP="001C6CCB">
                              <w:pPr>
                                <w:jc w:val="right"/>
                                <w:rPr>
                                  <w:rFonts w:ascii="Trebuchet MS" w:hAnsi="Trebuchet MS"/>
                                  <w:szCs w:val="36"/>
                                </w:rPr>
                              </w:pPr>
                              <w:r w:rsidRPr="006140F8">
                                <w:rPr>
                                  <w:rFonts w:ascii="Trebuchet MS" w:eastAsia="Times New Roman" w:hAnsi="Trebuchet MS"/>
                                  <w:b/>
                                  <w:bCs/>
                                  <w:sz w:val="48"/>
                                  <w:szCs w:val="48"/>
                                </w:rPr>
                                <w:t>The Ohio LTAP Center</w:t>
                              </w:r>
                            </w:p>
                          </w:txbxContent>
                        </wps:txbx>
                        <wps:bodyPr rot="0" vert="vert270" wrap="square" lIns="9144" tIns="91440" rIns="9144" bIns="91440" anchor="ctr" anchorCtr="0" upright="1">
                          <a:noAutofit/>
                        </wps:bodyPr>
                      </wps:wsp>
                      <wps:wsp>
                        <wps:cNvPr id="76" name="Rectangle 5"/>
                        <wps:cNvSpPr>
                          <a:spLocks noChangeArrowheads="1"/>
                        </wps:cNvSpPr>
                        <wps:spPr bwMode="auto">
                          <a:xfrm>
                            <a:off x="3248" y="370"/>
                            <a:ext cx="1728" cy="7108"/>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D6128" w:rsidRPr="006140F8" w:rsidRDefault="007D6128" w:rsidP="006140F8">
                              <w:pPr>
                                <w:rPr>
                                  <w:szCs w:val="100"/>
                                </w:rPr>
                              </w:pPr>
                            </w:p>
                          </w:txbxContent>
                        </wps:txbx>
                        <wps:bodyPr rot="0" vert="vert270" wrap="square" lIns="9144" tIns="91440" rIns="9144" bIns="91440" anchor="ctr" anchorCtr="0" upright="1">
                          <a:noAutofit/>
                        </wps:bodyPr>
                      </wps:wsp>
                      <wps:wsp>
                        <wps:cNvPr id="77" name="Rectangle 6"/>
                        <wps:cNvSpPr>
                          <a:spLocks noChangeArrowheads="1"/>
                        </wps:cNvSpPr>
                        <wps:spPr bwMode="auto">
                          <a:xfrm>
                            <a:off x="353" y="370"/>
                            <a:ext cx="1296" cy="7108"/>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D6128" w:rsidRPr="006140F8" w:rsidRDefault="007D6128">
                              <w:pPr>
                                <w:pStyle w:val="NoSpacing"/>
                                <w:jc w:val="right"/>
                                <w:rPr>
                                  <w:rFonts w:ascii="Cambria" w:hAnsi="Cambria"/>
                                  <w:b/>
                                  <w:bCs/>
                                  <w:sz w:val="48"/>
                                  <w:szCs w:val="48"/>
                                </w:rPr>
                              </w:pPr>
                              <w:r w:rsidRPr="006140F8">
                                <w:rPr>
                                  <w:rFonts w:ascii="Trebuchet MS" w:hAnsi="Trebuchet MS"/>
                                  <w:b/>
                                  <w:bCs/>
                                  <w:sz w:val="48"/>
                                  <w:szCs w:val="48"/>
                                </w:rPr>
                                <w:t xml:space="preserve">Rural Road </w:t>
                              </w:r>
                              <w:r>
                                <w:rPr>
                                  <w:rFonts w:ascii="Trebuchet MS" w:hAnsi="Trebuchet MS"/>
                                  <w:b/>
                                  <w:bCs/>
                                  <w:sz w:val="48"/>
                                  <w:szCs w:val="48"/>
                                </w:rPr>
                                <w:t xml:space="preserve">Safety </w:t>
                              </w:r>
                              <w:r w:rsidRPr="006140F8">
                                <w:rPr>
                                  <w:rFonts w:ascii="Trebuchet MS" w:hAnsi="Trebuchet MS"/>
                                  <w:b/>
                                  <w:bCs/>
                                  <w:sz w:val="48"/>
                                  <w:szCs w:val="48"/>
                                </w:rPr>
                                <w:t>Audit Assistance Program Guidebook</w:t>
                              </w:r>
                            </w:p>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7" style="position:absolute;margin-left:453.3pt;margin-top:40.6pt;width:226.35pt;height:684.4pt;z-index:251656704;mso-position-horizontal-relative:page;mso-position-vertical-relative:page" coordorigin="353,370" coordsize="4623,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" o:allowincell="f">
                <v:rect id="Rectangle 4" o:spid="_x0000_s1028" style="position:absolute;left:1794;top:370;width:1296;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nrsQA&#10;AADbAAAADwAAAGRycy9kb3ducmV2LnhtbESP0UoDMRRE3wX/IVzBN5tUaWu3TYuIogjC7rYfcElu&#10;d5dubpYktuvfN4LQx2FmzjDr7eh6caIQO88aphMFgth423GjYb97f3gGEROyxd4zafilCNvN7c0a&#10;C+vPXNGpTo3IEI4FamhTGgopo2nJYZz4gTh7Bx8cpixDI23Ac4a7Xj4qNZcOO84LLQ702pI51j9O&#10;w/xYLlRtgpqW1eHtyVTLj+rrW+v7u/FlBSLRmK7h//an1bCYwd+X/APk5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567EAAAA2wAAAA8AAAAAAAAAAAAAAAAAmAIAAGRycy9k&#10;b3ducmV2LnhtbFBLBQYAAAAABAAEAPUAAACJAwAAAAA=&#10;" strokecolor="white" strokeweight="1pt">
                  <v:fill opacity="52428f"/>
                  <v:shadow color="#d8d8d8" offset="3pt,3pt"/>
                  <v:textbox style="layout-flow:vertical;mso-layout-flow-alt:bottom-to-top" inset=".72pt,7.2pt,.72pt,7.2pt">
                    <w:txbxContent>
                      <w:p w:rsidR="007D6128" w:rsidRPr="001C6CCB" w:rsidRDefault="007D6128" w:rsidP="001C6CCB">
                        <w:pPr>
                          <w:jc w:val="right"/>
                          <w:rPr>
                            <w:rFonts w:ascii="Trebuchet MS" w:hAnsi="Trebuchet MS"/>
                            <w:szCs w:val="36"/>
                          </w:rPr>
                        </w:pPr>
                        <w:r w:rsidRPr="006140F8">
                          <w:rPr>
                            <w:rFonts w:ascii="Trebuchet MS" w:eastAsia="Times New Roman" w:hAnsi="Trebuchet MS"/>
                            <w:b/>
                            <w:bCs/>
                            <w:sz w:val="48"/>
                            <w:szCs w:val="48"/>
                          </w:rPr>
                          <w:t>The Ohio LTAP Center</w:t>
                        </w:r>
                      </w:p>
                    </w:txbxContent>
                  </v:textbox>
                </v:rect>
                <v:rect id="Rectangle 5" o:spid="_x0000_s1029" style="position:absolute;left:3248;top:370;width:1728;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52cQA&#10;AADbAAAADwAAAGRycy9kb3ducmV2LnhtbESPUUvDMBSF3wf+h3AF37ZkCt2sy4aIogiDtvMHXJK7&#10;tqy5KUnc6r83grDHwznnO5zNbnKDOFOIvWcNy4UCQWy87bnV8HV4m69BxIRscfBMGn4owm57M9tg&#10;af2Fazo3qRUZwrFEDV1KYyllNB05jAs/Emfv6IPDlGVopQ14yXA3yHulCumw57zQ4UgvHZlT8+00&#10;FKdqpRoT1LKqj68Ppn58rz/3Wt/dTs9PIBJN6Rr+b39YDasC/r7k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jednEAAAA2wAAAA8AAAAAAAAAAAAAAAAAmAIAAGRycy9k&#10;b3ducmV2LnhtbFBLBQYAAAAABAAEAPUAAACJAwAAAAA=&#10;" strokecolor="white" strokeweight="1pt">
                  <v:fill opacity="52428f"/>
                  <v:shadow color="#d8d8d8" offset="3pt,3pt"/>
                  <v:textbox style="layout-flow:vertical;mso-layout-flow-alt:bottom-to-top" inset=".72pt,7.2pt,.72pt,7.2pt">
                    <w:txbxContent>
                      <w:p w:rsidR="007D6128" w:rsidRPr="006140F8" w:rsidRDefault="007D6128" w:rsidP="006140F8">
                        <w:pPr>
                          <w:rPr>
                            <w:szCs w:val="100"/>
                          </w:rPr>
                        </w:pPr>
                      </w:p>
                    </w:txbxContent>
                  </v:textbox>
                </v:rect>
                <v:rect id="Rectangle 6" o:spid="_x0000_s1030" style="position:absolute;left:353;top:370;width:1296;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QsQA&#10;AADbAAAADwAAAGRycy9kb3ducmV2LnhtbESPUUvDMBSF3wf+h3AF37ZkCuusy4aIogiDtvMHXJK7&#10;tqy5KUnc6r83grDHwznnO5zNbnKDOFOIvWcNy4UCQWy87bnV8HV4m69BxIRscfBMGn4owm57M9tg&#10;af2Fazo3qRUZwrFEDV1KYyllNB05jAs/Emfv6IPDlGVopQ14yXA3yHulVtJhz3mhw5FeOjKn5ttp&#10;WJ2qQjUmqGVVH18fTP34Xn/utb67nZ6fQCSa0jX83/6wGooC/r7k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v3ELEAAAA2wAAAA8AAAAAAAAAAAAAAAAAmAIAAGRycy9k&#10;b3ducmV2LnhtbFBLBQYAAAAABAAEAPUAAACJAwAAAAA=&#10;" strokecolor="white" strokeweight="1pt">
                  <v:fill opacity="52428f"/>
                  <v:shadow color="#d8d8d8" offset="3pt,3pt"/>
                  <v:textbox style="layout-flow:vertical;mso-layout-flow-alt:bottom-to-top" inset=".72pt,7.2pt,.72pt,7.2pt">
                    <w:txbxContent>
                      <w:p w:rsidR="007D6128" w:rsidRPr="006140F8" w:rsidRDefault="007D6128">
                        <w:pPr>
                          <w:pStyle w:val="NoSpacing"/>
                          <w:jc w:val="right"/>
                          <w:rPr>
                            <w:rFonts w:ascii="Cambria" w:hAnsi="Cambria"/>
                            <w:b/>
                            <w:bCs/>
                            <w:sz w:val="48"/>
                            <w:szCs w:val="48"/>
                          </w:rPr>
                        </w:pPr>
                        <w:r w:rsidRPr="006140F8">
                          <w:rPr>
                            <w:rFonts w:ascii="Trebuchet MS" w:hAnsi="Trebuchet MS"/>
                            <w:b/>
                            <w:bCs/>
                            <w:sz w:val="48"/>
                            <w:szCs w:val="48"/>
                          </w:rPr>
                          <w:t xml:space="preserve">Rural Road </w:t>
                        </w:r>
                        <w:r>
                          <w:rPr>
                            <w:rFonts w:ascii="Trebuchet MS" w:hAnsi="Trebuchet MS"/>
                            <w:b/>
                            <w:bCs/>
                            <w:sz w:val="48"/>
                            <w:szCs w:val="48"/>
                          </w:rPr>
                          <w:t xml:space="preserve">Safety </w:t>
                        </w:r>
                        <w:r w:rsidRPr="006140F8">
                          <w:rPr>
                            <w:rFonts w:ascii="Trebuchet MS" w:hAnsi="Trebuchet MS"/>
                            <w:b/>
                            <w:bCs/>
                            <w:sz w:val="48"/>
                            <w:szCs w:val="48"/>
                          </w:rPr>
                          <w:t>Audit Assistance Program Guidebook</w:t>
                        </w:r>
                      </w:p>
                    </w:txbxContent>
                  </v:textbox>
                </v:rect>
                <w10:wrap anchorx="page" anchory="page"/>
              </v:group>
            </w:pict>
          </mc:Fallback>
        </mc:AlternateContent>
      </w:r>
      <w:r w:rsidR="00DD0E9D">
        <w:rPr>
          <w:noProof/>
        </w:rPr>
        <w:drawing>
          <wp:inline distT="0" distB="0" distL="0" distR="0">
            <wp:extent cx="4763135" cy="3569970"/>
            <wp:effectExtent l="19050" t="0" r="0" b="0"/>
            <wp:docPr id="1" name="Picture 2" descr="photo008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008sm.jpg"/>
                    <pic:cNvPicPr>
                      <a:picLocks noChangeAspect="1" noChangeArrowheads="1"/>
                    </pic:cNvPicPr>
                  </pic:nvPicPr>
                  <pic:blipFill>
                    <a:blip r:embed="rId10" cstate="print"/>
                    <a:srcRect/>
                    <a:stretch>
                      <a:fillRect/>
                    </a:stretch>
                  </pic:blipFill>
                  <pic:spPr bwMode="auto">
                    <a:xfrm>
                      <a:off x="0" y="0"/>
                      <a:ext cx="4763135" cy="3569970"/>
                    </a:xfrm>
                    <a:prstGeom prst="rect">
                      <a:avLst/>
                    </a:prstGeom>
                    <a:noFill/>
                    <a:ln w="9525">
                      <a:noFill/>
                      <a:miter lim="800000"/>
                      <a:headEnd/>
                      <a:tailEnd/>
                    </a:ln>
                  </pic:spPr>
                </pic:pic>
              </a:graphicData>
            </a:graphic>
          </wp:inline>
        </w:drawing>
      </w:r>
    </w:p>
    <w:p w:rsidR="006140F8" w:rsidRDefault="00006DBA" w:rsidP="006140F8">
      <w:r>
        <w:rPr>
          <w:noProof/>
        </w:rPr>
        <mc:AlternateContent>
          <mc:Choice Requires="wps">
            <w:drawing>
              <wp:anchor distT="0" distB="0" distL="114300" distR="114300" simplePos="0" relativeHeight="251658752" behindDoc="0" locked="0" layoutInCell="1" allowOverlap="1">
                <wp:simplePos x="0" y="0"/>
                <wp:positionH relativeFrom="column">
                  <wp:posOffset>10160</wp:posOffset>
                </wp:positionH>
                <wp:positionV relativeFrom="paragraph">
                  <wp:posOffset>2900045</wp:posOffset>
                </wp:positionV>
                <wp:extent cx="2298065" cy="659765"/>
                <wp:effectExtent l="19685" t="23495" r="15875" b="21590"/>
                <wp:wrapNone/>
                <wp:docPr id="7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065" cy="659765"/>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6128" w:rsidRDefault="007D6128" w:rsidP="003C21CB">
                            <w:pPr>
                              <w:pStyle w:val="Title"/>
                            </w:pPr>
                            <w:bookmarkStart w:id="7" w:name="_Toc268519781"/>
                            <w:bookmarkStart w:id="8" w:name="_Toc268611877"/>
                            <w:bookmarkStart w:id="9" w:name="_Toc268613484"/>
                            <w:bookmarkStart w:id="10" w:name="_Toc268679153"/>
                            <w:bookmarkStart w:id="11" w:name="_Toc268692204"/>
                            <w:bookmarkStart w:id="12" w:name="_Toc269974575"/>
                            <w:bookmarkStart w:id="13" w:name="_Toc313541990"/>
                            <w:bookmarkStart w:id="14" w:name="_Toc327366846"/>
                            <w:bookmarkStart w:id="15" w:name="_Toc327366907"/>
                            <w:r>
                              <w:t>After</w:t>
                            </w:r>
                            <w:bookmarkEnd w:id="7"/>
                            <w:bookmarkEnd w:id="8"/>
                            <w:bookmarkEnd w:id="9"/>
                            <w:bookmarkEnd w:id="10"/>
                            <w:bookmarkEnd w:id="11"/>
                            <w:bookmarkEnd w:id="12"/>
                            <w:bookmarkEnd w:id="13"/>
                            <w:bookmarkEnd w:id="14"/>
                            <w:bookmarkEnd w:id="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1" style="position:absolute;margin-left:.8pt;margin-top:228.35pt;width:180.95pt;height:5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" strokecolor="#c0504d" strokeweight="2.5pt">
                <v:shadow color="#868686"/>
                <v:textbox>
                  <w:txbxContent>
                    <w:p w:rsidR="007D6128" w:rsidRDefault="007D6128" w:rsidP="003C21CB">
                      <w:pPr>
                        <w:pStyle w:val="Title"/>
                      </w:pPr>
                      <w:bookmarkStart w:id="23" w:name="_Toc268519781"/>
                      <w:bookmarkStart w:id="24" w:name="_Toc268611877"/>
                      <w:bookmarkStart w:id="25" w:name="_Toc268613484"/>
                      <w:bookmarkStart w:id="26" w:name="_Toc268679153"/>
                      <w:bookmarkStart w:id="27" w:name="_Toc268692204"/>
                      <w:bookmarkStart w:id="28" w:name="_Toc269974575"/>
                      <w:bookmarkStart w:id="29" w:name="_Toc313541990"/>
                      <w:bookmarkStart w:id="30" w:name="_Toc327366846"/>
                      <w:bookmarkStart w:id="31" w:name="_Toc327366907"/>
                      <w:r>
                        <w:t>After</w:t>
                      </w:r>
                      <w:bookmarkEnd w:id="23"/>
                      <w:bookmarkEnd w:id="24"/>
                      <w:bookmarkEnd w:id="25"/>
                      <w:bookmarkEnd w:id="26"/>
                      <w:bookmarkEnd w:id="27"/>
                      <w:bookmarkEnd w:id="28"/>
                      <w:bookmarkEnd w:id="29"/>
                      <w:bookmarkEnd w:id="30"/>
                      <w:bookmarkEnd w:id="31"/>
                    </w:p>
                  </w:txbxContent>
                </v:textbox>
              </v:roundrect>
            </w:pict>
          </mc:Fallback>
        </mc:AlternateContent>
      </w:r>
      <w:r w:rsidR="00DD0E9D">
        <w:rPr>
          <w:noProof/>
        </w:rPr>
        <w:drawing>
          <wp:inline distT="0" distB="0" distL="0" distR="0">
            <wp:extent cx="4763135" cy="3578225"/>
            <wp:effectExtent l="19050" t="0" r="0" b="0"/>
            <wp:docPr id="2" name="Picture 3" descr="photo009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009sm.jpg"/>
                    <pic:cNvPicPr>
                      <a:picLocks noChangeAspect="1" noChangeArrowheads="1"/>
                    </pic:cNvPicPr>
                  </pic:nvPicPr>
                  <pic:blipFill>
                    <a:blip r:embed="rId11" cstate="print"/>
                    <a:srcRect/>
                    <a:stretch>
                      <a:fillRect/>
                    </a:stretch>
                  </pic:blipFill>
                  <pic:spPr bwMode="auto">
                    <a:xfrm>
                      <a:off x="0" y="0"/>
                      <a:ext cx="4763135" cy="3578225"/>
                    </a:xfrm>
                    <a:prstGeom prst="rect">
                      <a:avLst/>
                    </a:prstGeom>
                    <a:noFill/>
                    <a:ln w="9525">
                      <a:noFill/>
                      <a:miter lim="800000"/>
                      <a:headEnd/>
                      <a:tailEnd/>
                    </a:ln>
                  </pic:spPr>
                </pic:pic>
              </a:graphicData>
            </a:graphic>
          </wp:inline>
        </w:drawing>
      </w:r>
    </w:p>
    <w:p w:rsidR="001C6CCB" w:rsidRDefault="001C6CCB"/>
    <w:p w:rsidR="001C6CCB" w:rsidRDefault="001C6CCB">
      <w:r>
        <w:br w:type="page"/>
      </w:r>
    </w:p>
    <w:p w:rsidR="002575B5" w:rsidRDefault="002575B5">
      <w:pPr>
        <w:pStyle w:val="TOCHeading"/>
      </w:pPr>
    </w:p>
    <w:p w:rsidR="002575B5" w:rsidRDefault="002575B5">
      <w:pPr>
        <w:pStyle w:val="TOCHeading"/>
      </w:pPr>
    </w:p>
    <w:p w:rsidR="002913B9" w:rsidRDefault="002913B9">
      <w:pPr>
        <w:spacing w:after="0" w:line="240" w:lineRule="auto"/>
        <w:rPr>
          <w:rFonts w:ascii="Cambria" w:eastAsia="Times New Roman" w:hAnsi="Cambria"/>
          <w:b/>
          <w:bCs/>
          <w:color w:val="365F91"/>
          <w:sz w:val="28"/>
          <w:szCs w:val="28"/>
        </w:rPr>
      </w:pPr>
      <w:r>
        <w:br w:type="page"/>
      </w:r>
    </w:p>
    <w:p w:rsidR="00F31B6F" w:rsidRDefault="00F31B6F" w:rsidP="00F31B6F">
      <w:pPr>
        <w:pStyle w:val="TOCHeading"/>
        <w:jc w:val="center"/>
      </w:pPr>
    </w:p>
    <w:p w:rsidR="00F31B6F" w:rsidRDefault="00F31B6F" w:rsidP="00F31B6F">
      <w:pPr>
        <w:pStyle w:val="TOCHeading"/>
        <w:jc w:val="center"/>
      </w:pPr>
    </w:p>
    <w:p w:rsidR="00F31B6F" w:rsidRDefault="00F31B6F" w:rsidP="00F31B6F">
      <w:pPr>
        <w:pStyle w:val="TOCHeading"/>
        <w:jc w:val="center"/>
      </w:pPr>
    </w:p>
    <w:p w:rsidR="00217E2A" w:rsidRDefault="00217E2A" w:rsidP="00F31B6F">
      <w:pPr>
        <w:pStyle w:val="TOCHeading"/>
        <w:jc w:val="center"/>
      </w:pPr>
      <w:r>
        <w:t>Table of Contents</w:t>
      </w:r>
    </w:p>
    <w:p w:rsidR="002913B9" w:rsidRPr="002913B9" w:rsidRDefault="002913B9" w:rsidP="002913B9"/>
    <w:p w:rsidR="00C643D4" w:rsidRDefault="00EA63C0" w:rsidP="00C643D4">
      <w:pPr>
        <w:pStyle w:val="TOC1"/>
        <w:tabs>
          <w:tab w:val="right" w:leader="dot" w:pos="9980"/>
        </w:tabs>
        <w:rPr>
          <w:rFonts w:asciiTheme="minorHAnsi" w:eastAsiaTheme="minorEastAsia" w:hAnsiTheme="minorHAnsi" w:cstheme="minorBidi"/>
          <w:noProof/>
        </w:rPr>
      </w:pPr>
      <w:r>
        <w:fldChar w:fldCharType="begin"/>
      </w:r>
      <w:r w:rsidR="00217E2A">
        <w:instrText xml:space="preserve"> TOC \o "1-3" \h \z \u </w:instrText>
      </w:r>
      <w:r>
        <w:fldChar w:fldCharType="separate"/>
      </w:r>
    </w:p>
    <w:p w:rsidR="00C643D4" w:rsidRDefault="00E91264">
      <w:pPr>
        <w:pStyle w:val="TOC1"/>
        <w:tabs>
          <w:tab w:val="right" w:leader="dot" w:pos="9980"/>
        </w:tabs>
        <w:rPr>
          <w:rFonts w:asciiTheme="minorHAnsi" w:eastAsiaTheme="minorEastAsia" w:hAnsiTheme="minorHAnsi" w:cstheme="minorBidi"/>
          <w:noProof/>
        </w:rPr>
      </w:pPr>
      <w:hyperlink w:anchor="_Toc327366908" w:history="1">
        <w:r w:rsidR="00C643D4" w:rsidRPr="00924F8D">
          <w:rPr>
            <w:rStyle w:val="Hyperlink"/>
            <w:noProof/>
          </w:rPr>
          <w:t>Executive Summary</w:t>
        </w:r>
        <w:r w:rsidR="00C643D4">
          <w:rPr>
            <w:noProof/>
            <w:webHidden/>
          </w:rPr>
          <w:tab/>
        </w:r>
        <w:r w:rsidR="00C643D4">
          <w:rPr>
            <w:noProof/>
            <w:webHidden/>
          </w:rPr>
          <w:fldChar w:fldCharType="begin"/>
        </w:r>
        <w:r w:rsidR="00C643D4">
          <w:rPr>
            <w:noProof/>
            <w:webHidden/>
          </w:rPr>
          <w:instrText xml:space="preserve"> PAGEREF _Toc327366908 \h </w:instrText>
        </w:r>
        <w:r w:rsidR="00C643D4">
          <w:rPr>
            <w:noProof/>
            <w:webHidden/>
          </w:rPr>
        </w:r>
        <w:r w:rsidR="00C643D4">
          <w:rPr>
            <w:noProof/>
            <w:webHidden/>
          </w:rPr>
          <w:fldChar w:fldCharType="separate"/>
        </w:r>
        <w:r>
          <w:rPr>
            <w:noProof/>
            <w:webHidden/>
          </w:rPr>
          <w:t>5</w:t>
        </w:r>
        <w:r w:rsidR="00C643D4">
          <w:rPr>
            <w:noProof/>
            <w:webHidden/>
          </w:rPr>
          <w:fldChar w:fldCharType="end"/>
        </w:r>
      </w:hyperlink>
    </w:p>
    <w:p w:rsidR="00C643D4" w:rsidRDefault="00E91264">
      <w:pPr>
        <w:pStyle w:val="TOC1"/>
        <w:tabs>
          <w:tab w:val="right" w:leader="dot" w:pos="9980"/>
        </w:tabs>
        <w:rPr>
          <w:rFonts w:asciiTheme="minorHAnsi" w:eastAsiaTheme="minorEastAsia" w:hAnsiTheme="minorHAnsi" w:cstheme="minorBidi"/>
          <w:noProof/>
        </w:rPr>
      </w:pPr>
      <w:hyperlink w:anchor="_Toc327366909" w:history="1">
        <w:r w:rsidR="00C643D4" w:rsidRPr="00924F8D">
          <w:rPr>
            <w:rStyle w:val="Hyperlink"/>
            <w:noProof/>
          </w:rPr>
          <w:t>Routes Proposed for Review</w:t>
        </w:r>
        <w:r w:rsidR="00C643D4">
          <w:rPr>
            <w:noProof/>
            <w:webHidden/>
          </w:rPr>
          <w:tab/>
        </w:r>
        <w:r w:rsidR="00C643D4">
          <w:rPr>
            <w:noProof/>
            <w:webHidden/>
          </w:rPr>
          <w:fldChar w:fldCharType="begin"/>
        </w:r>
        <w:r w:rsidR="00C643D4">
          <w:rPr>
            <w:noProof/>
            <w:webHidden/>
          </w:rPr>
          <w:instrText xml:space="preserve"> PAGEREF _Toc327366909 \h </w:instrText>
        </w:r>
        <w:r w:rsidR="00C643D4">
          <w:rPr>
            <w:noProof/>
            <w:webHidden/>
          </w:rPr>
        </w:r>
        <w:r w:rsidR="00C643D4">
          <w:rPr>
            <w:noProof/>
            <w:webHidden/>
          </w:rPr>
          <w:fldChar w:fldCharType="separate"/>
        </w:r>
        <w:r>
          <w:rPr>
            <w:noProof/>
            <w:webHidden/>
          </w:rPr>
          <w:t>7</w:t>
        </w:r>
        <w:r w:rsidR="00C643D4">
          <w:rPr>
            <w:noProof/>
            <w:webHidden/>
          </w:rPr>
          <w:fldChar w:fldCharType="end"/>
        </w:r>
      </w:hyperlink>
    </w:p>
    <w:p w:rsidR="00C643D4" w:rsidRDefault="00E91264">
      <w:pPr>
        <w:pStyle w:val="TOC1"/>
        <w:tabs>
          <w:tab w:val="right" w:leader="dot" w:pos="9980"/>
        </w:tabs>
        <w:rPr>
          <w:rFonts w:asciiTheme="minorHAnsi" w:eastAsiaTheme="minorEastAsia" w:hAnsiTheme="minorHAnsi" w:cstheme="minorBidi"/>
          <w:noProof/>
        </w:rPr>
      </w:pPr>
      <w:hyperlink w:anchor="_Toc327366910" w:history="1">
        <w:r w:rsidR="00C643D4" w:rsidRPr="00924F8D">
          <w:rPr>
            <w:rStyle w:val="Hyperlink"/>
            <w:noProof/>
          </w:rPr>
          <w:t>Team Charter –Rural Road Safety Audits Assistance (RRSAA) Program Partnership between the Shelby County Engineer’s Office (SCEO) and the Ohio LTAP Center</w:t>
        </w:r>
        <w:r w:rsidR="00C643D4">
          <w:rPr>
            <w:noProof/>
            <w:webHidden/>
          </w:rPr>
          <w:tab/>
        </w:r>
        <w:r w:rsidR="00C643D4">
          <w:rPr>
            <w:noProof/>
            <w:webHidden/>
          </w:rPr>
          <w:fldChar w:fldCharType="begin"/>
        </w:r>
        <w:r w:rsidR="00C643D4">
          <w:rPr>
            <w:noProof/>
            <w:webHidden/>
          </w:rPr>
          <w:instrText xml:space="preserve"> PAGEREF _Toc327366910 \h </w:instrText>
        </w:r>
        <w:r w:rsidR="00C643D4">
          <w:rPr>
            <w:noProof/>
            <w:webHidden/>
          </w:rPr>
        </w:r>
        <w:r w:rsidR="00C643D4">
          <w:rPr>
            <w:noProof/>
            <w:webHidden/>
          </w:rPr>
          <w:fldChar w:fldCharType="separate"/>
        </w:r>
        <w:r>
          <w:rPr>
            <w:noProof/>
            <w:webHidden/>
          </w:rPr>
          <w:t>33</w:t>
        </w:r>
        <w:r w:rsidR="00C643D4">
          <w:rPr>
            <w:noProof/>
            <w:webHidden/>
          </w:rPr>
          <w:fldChar w:fldCharType="end"/>
        </w:r>
      </w:hyperlink>
    </w:p>
    <w:p w:rsidR="00C643D4" w:rsidRDefault="00E91264">
      <w:pPr>
        <w:pStyle w:val="TOC1"/>
        <w:tabs>
          <w:tab w:val="right" w:leader="dot" w:pos="9980"/>
        </w:tabs>
        <w:rPr>
          <w:rFonts w:asciiTheme="minorHAnsi" w:eastAsiaTheme="minorEastAsia" w:hAnsiTheme="minorHAnsi" w:cstheme="minorBidi"/>
          <w:noProof/>
        </w:rPr>
      </w:pPr>
      <w:hyperlink w:anchor="_Toc327366911" w:history="1">
        <w:r w:rsidR="00C643D4" w:rsidRPr="00924F8D">
          <w:rPr>
            <w:rStyle w:val="Hyperlink"/>
            <w:noProof/>
          </w:rPr>
          <w:t>Timeframe for Project Completion</w:t>
        </w:r>
        <w:r w:rsidR="00C643D4">
          <w:rPr>
            <w:noProof/>
            <w:webHidden/>
          </w:rPr>
          <w:tab/>
        </w:r>
        <w:r w:rsidR="00C643D4">
          <w:rPr>
            <w:noProof/>
            <w:webHidden/>
          </w:rPr>
          <w:fldChar w:fldCharType="begin"/>
        </w:r>
        <w:r w:rsidR="00C643D4">
          <w:rPr>
            <w:noProof/>
            <w:webHidden/>
          </w:rPr>
          <w:instrText xml:space="preserve"> PAGEREF _Toc327366911 \h </w:instrText>
        </w:r>
        <w:r w:rsidR="00C643D4">
          <w:rPr>
            <w:noProof/>
            <w:webHidden/>
          </w:rPr>
        </w:r>
        <w:r w:rsidR="00C643D4">
          <w:rPr>
            <w:noProof/>
            <w:webHidden/>
          </w:rPr>
          <w:fldChar w:fldCharType="separate"/>
        </w:r>
        <w:r>
          <w:rPr>
            <w:noProof/>
            <w:webHidden/>
          </w:rPr>
          <w:t>36</w:t>
        </w:r>
        <w:r w:rsidR="00C643D4">
          <w:rPr>
            <w:noProof/>
            <w:webHidden/>
          </w:rPr>
          <w:fldChar w:fldCharType="end"/>
        </w:r>
      </w:hyperlink>
    </w:p>
    <w:p w:rsidR="00C643D4" w:rsidRDefault="00E91264">
      <w:pPr>
        <w:pStyle w:val="TOC1"/>
        <w:tabs>
          <w:tab w:val="right" w:leader="dot" w:pos="9980"/>
        </w:tabs>
        <w:rPr>
          <w:rFonts w:asciiTheme="minorHAnsi" w:eastAsiaTheme="minorEastAsia" w:hAnsiTheme="minorHAnsi" w:cstheme="minorBidi"/>
          <w:noProof/>
        </w:rPr>
      </w:pPr>
      <w:hyperlink w:anchor="_Toc327366912" w:history="1">
        <w:r w:rsidR="00C643D4" w:rsidRPr="00924F8D">
          <w:rPr>
            <w:rStyle w:val="Hyperlink"/>
            <w:noProof/>
          </w:rPr>
          <w:t>Steps for Conducting a Road Safety Audit</w:t>
        </w:r>
        <w:r w:rsidR="00C643D4">
          <w:rPr>
            <w:noProof/>
            <w:webHidden/>
          </w:rPr>
          <w:tab/>
        </w:r>
        <w:r w:rsidR="00C643D4">
          <w:rPr>
            <w:noProof/>
            <w:webHidden/>
          </w:rPr>
          <w:fldChar w:fldCharType="begin"/>
        </w:r>
        <w:r w:rsidR="00C643D4">
          <w:rPr>
            <w:noProof/>
            <w:webHidden/>
          </w:rPr>
          <w:instrText xml:space="preserve"> PAGEREF _Toc327366912 \h </w:instrText>
        </w:r>
        <w:r w:rsidR="00C643D4">
          <w:rPr>
            <w:noProof/>
            <w:webHidden/>
          </w:rPr>
        </w:r>
        <w:r w:rsidR="00C643D4">
          <w:rPr>
            <w:noProof/>
            <w:webHidden/>
          </w:rPr>
          <w:fldChar w:fldCharType="separate"/>
        </w:r>
        <w:r>
          <w:rPr>
            <w:noProof/>
            <w:webHidden/>
          </w:rPr>
          <w:t>37</w:t>
        </w:r>
        <w:r w:rsidR="00C643D4">
          <w:rPr>
            <w:noProof/>
            <w:webHidden/>
          </w:rPr>
          <w:fldChar w:fldCharType="end"/>
        </w:r>
      </w:hyperlink>
    </w:p>
    <w:p w:rsidR="00C643D4" w:rsidRDefault="00E91264">
      <w:pPr>
        <w:pStyle w:val="TOC1"/>
        <w:tabs>
          <w:tab w:val="right" w:leader="dot" w:pos="9980"/>
        </w:tabs>
        <w:rPr>
          <w:rFonts w:asciiTheme="minorHAnsi" w:eastAsiaTheme="minorEastAsia" w:hAnsiTheme="minorHAnsi" w:cstheme="minorBidi"/>
          <w:noProof/>
        </w:rPr>
      </w:pPr>
      <w:hyperlink w:anchor="_Toc327366913" w:history="1">
        <w:r w:rsidR="00C643D4" w:rsidRPr="00924F8D">
          <w:rPr>
            <w:rStyle w:val="Hyperlink"/>
            <w:noProof/>
          </w:rPr>
          <w:t>Funding Percentages for Improvements</w:t>
        </w:r>
        <w:r w:rsidR="00C643D4">
          <w:rPr>
            <w:noProof/>
            <w:webHidden/>
          </w:rPr>
          <w:tab/>
        </w:r>
        <w:r w:rsidR="00C643D4">
          <w:rPr>
            <w:noProof/>
            <w:webHidden/>
          </w:rPr>
          <w:fldChar w:fldCharType="begin"/>
        </w:r>
        <w:r w:rsidR="00C643D4">
          <w:rPr>
            <w:noProof/>
            <w:webHidden/>
          </w:rPr>
          <w:instrText xml:space="preserve"> PAGEREF _Toc327366913 \h </w:instrText>
        </w:r>
        <w:r w:rsidR="00C643D4">
          <w:rPr>
            <w:noProof/>
            <w:webHidden/>
          </w:rPr>
        </w:r>
        <w:r w:rsidR="00C643D4">
          <w:rPr>
            <w:noProof/>
            <w:webHidden/>
          </w:rPr>
          <w:fldChar w:fldCharType="separate"/>
        </w:r>
        <w:r>
          <w:rPr>
            <w:noProof/>
            <w:webHidden/>
          </w:rPr>
          <w:t>38</w:t>
        </w:r>
        <w:r w:rsidR="00C643D4">
          <w:rPr>
            <w:noProof/>
            <w:webHidden/>
          </w:rPr>
          <w:fldChar w:fldCharType="end"/>
        </w:r>
      </w:hyperlink>
    </w:p>
    <w:p w:rsidR="00217E2A" w:rsidRDefault="00EA63C0">
      <w:r>
        <w:fldChar w:fldCharType="end"/>
      </w:r>
    </w:p>
    <w:p w:rsidR="008B680B" w:rsidRDefault="003C2BE9" w:rsidP="002575B5">
      <w:r>
        <w:tab/>
      </w:r>
      <w:r>
        <w:tab/>
      </w:r>
      <w:r>
        <w:tab/>
      </w:r>
    </w:p>
    <w:p w:rsidR="003C2BE9" w:rsidRDefault="003C2BE9">
      <w:r>
        <w:tab/>
      </w:r>
      <w:r>
        <w:tab/>
      </w:r>
      <w:r>
        <w:tab/>
      </w:r>
    </w:p>
    <w:p w:rsidR="002575B5" w:rsidRDefault="002575B5" w:rsidP="006140F8">
      <w:pPr>
        <w:pStyle w:val="Heading1"/>
        <w:jc w:val="center"/>
      </w:pPr>
    </w:p>
    <w:p w:rsidR="002575B5" w:rsidRDefault="002575B5">
      <w:pPr>
        <w:spacing w:after="0" w:line="240" w:lineRule="auto"/>
        <w:rPr>
          <w:rFonts w:ascii="Cambria" w:eastAsia="Times New Roman" w:hAnsi="Cambria"/>
          <w:b/>
          <w:bCs/>
          <w:color w:val="365F91"/>
          <w:sz w:val="28"/>
          <w:szCs w:val="28"/>
        </w:rPr>
      </w:pPr>
      <w:r>
        <w:br w:type="page"/>
      </w:r>
    </w:p>
    <w:p w:rsidR="00F31B6F" w:rsidRDefault="00F31B6F">
      <w:pPr>
        <w:spacing w:after="0" w:line="240" w:lineRule="auto"/>
        <w:rPr>
          <w:rFonts w:ascii="Cambria" w:eastAsia="Times New Roman" w:hAnsi="Cambria"/>
          <w:b/>
          <w:bCs/>
          <w:color w:val="365F91"/>
          <w:sz w:val="28"/>
          <w:szCs w:val="28"/>
        </w:rPr>
      </w:pPr>
      <w:r>
        <w:lastRenderedPageBreak/>
        <w:br w:type="page"/>
      </w:r>
    </w:p>
    <w:p w:rsidR="001C6CCB" w:rsidRDefault="006140F8" w:rsidP="006140F8">
      <w:pPr>
        <w:pStyle w:val="Heading1"/>
        <w:jc w:val="center"/>
      </w:pPr>
      <w:bookmarkStart w:id="16" w:name="_Toc327366908"/>
      <w:r>
        <w:lastRenderedPageBreak/>
        <w:t>Executive Summary</w:t>
      </w:r>
      <w:bookmarkEnd w:id="16"/>
    </w:p>
    <w:p w:rsidR="006140F8" w:rsidRDefault="006140F8" w:rsidP="006140F8"/>
    <w:p w:rsidR="00F20EE6" w:rsidRDefault="00F20EE6" w:rsidP="00F20EE6">
      <w:pPr>
        <w:ind w:left="720"/>
        <w:rPr>
          <w:rFonts w:asciiTheme="majorHAnsi" w:hAnsiTheme="majorHAnsi"/>
          <w:sz w:val="24"/>
          <w:szCs w:val="24"/>
        </w:rPr>
      </w:pPr>
      <w:r>
        <w:rPr>
          <w:rFonts w:asciiTheme="majorHAnsi" w:hAnsiTheme="majorHAnsi"/>
          <w:sz w:val="24"/>
          <w:szCs w:val="24"/>
        </w:rPr>
        <w:t xml:space="preserve">The Ohio Department of Transportation’s Safety Program within the Office of Systems Planning and Program Management, under direction from the United States Congress and the Federal Highway Administration, administers the High Risk Rural Roads </w:t>
      </w:r>
      <w:r w:rsidR="00DD0E9D">
        <w:rPr>
          <w:rFonts w:asciiTheme="majorHAnsi" w:hAnsiTheme="majorHAnsi"/>
          <w:sz w:val="24"/>
          <w:szCs w:val="24"/>
        </w:rPr>
        <w:t xml:space="preserve">(HRRR) </w:t>
      </w:r>
      <w:r>
        <w:rPr>
          <w:rFonts w:asciiTheme="majorHAnsi" w:hAnsiTheme="majorHAnsi"/>
          <w:sz w:val="24"/>
          <w:szCs w:val="24"/>
        </w:rPr>
        <w:t>program for the State of Ohio.  As a part of this program, the ODOT Safety Program has partnered with the Ohio LTAP Center to provide assistance to Counties and Townships containing corridors with accident rates for fatalities and incapacitating injuries exceeding the statewide average for the identified functional class of roadway.</w:t>
      </w:r>
      <w:r>
        <w:rPr>
          <w:rStyle w:val="FootnoteReference"/>
          <w:rFonts w:asciiTheme="majorHAnsi" w:hAnsiTheme="majorHAnsi"/>
          <w:sz w:val="24"/>
          <w:szCs w:val="24"/>
        </w:rPr>
        <w:footnoteReference w:id="1"/>
      </w:r>
      <w:r>
        <w:rPr>
          <w:rFonts w:asciiTheme="majorHAnsi" w:hAnsiTheme="majorHAnsi"/>
          <w:sz w:val="24"/>
          <w:szCs w:val="24"/>
        </w:rPr>
        <w:t xml:space="preserve">  </w:t>
      </w:r>
    </w:p>
    <w:p w:rsidR="00F20EE6" w:rsidRDefault="00F20EE6" w:rsidP="00F20EE6">
      <w:pPr>
        <w:ind w:left="720"/>
        <w:rPr>
          <w:rFonts w:asciiTheme="majorHAnsi" w:hAnsiTheme="majorHAnsi"/>
          <w:sz w:val="24"/>
          <w:szCs w:val="24"/>
        </w:rPr>
      </w:pPr>
      <w:r>
        <w:rPr>
          <w:rFonts w:asciiTheme="majorHAnsi" w:hAnsiTheme="majorHAnsi"/>
          <w:sz w:val="24"/>
          <w:szCs w:val="24"/>
        </w:rPr>
        <w:t xml:space="preserve">Based upon the criteria outlined in </w:t>
      </w:r>
      <w:r w:rsidR="00DD0E9D">
        <w:rPr>
          <w:rFonts w:asciiTheme="majorHAnsi" w:hAnsiTheme="majorHAnsi"/>
          <w:sz w:val="24"/>
          <w:szCs w:val="24"/>
        </w:rPr>
        <w:t>the HRRR program</w:t>
      </w:r>
      <w:r>
        <w:rPr>
          <w:rFonts w:asciiTheme="majorHAnsi" w:hAnsiTheme="majorHAnsi"/>
          <w:sz w:val="24"/>
          <w:szCs w:val="24"/>
        </w:rPr>
        <w:t xml:space="preserve">, the ODOT Safety Program has identified corridors within </w:t>
      </w:r>
      <w:r w:rsidR="00E156B3">
        <w:rPr>
          <w:rFonts w:asciiTheme="majorHAnsi" w:hAnsiTheme="majorHAnsi"/>
          <w:sz w:val="24"/>
          <w:szCs w:val="24"/>
        </w:rPr>
        <w:t>Shelby</w:t>
      </w:r>
      <w:r w:rsidR="00F17EDC">
        <w:rPr>
          <w:rFonts w:asciiTheme="majorHAnsi" w:hAnsiTheme="majorHAnsi"/>
          <w:sz w:val="24"/>
          <w:szCs w:val="24"/>
        </w:rPr>
        <w:t xml:space="preserve"> County</w:t>
      </w:r>
      <w:r>
        <w:rPr>
          <w:rFonts w:asciiTheme="majorHAnsi" w:hAnsiTheme="majorHAnsi"/>
          <w:sz w:val="24"/>
          <w:szCs w:val="24"/>
        </w:rPr>
        <w:t xml:space="preserve"> where the Ohio LTAP Program can partner with the </w:t>
      </w:r>
      <w:r w:rsidR="00E156B3">
        <w:rPr>
          <w:rFonts w:asciiTheme="majorHAnsi" w:hAnsiTheme="majorHAnsi"/>
          <w:sz w:val="24"/>
          <w:szCs w:val="24"/>
        </w:rPr>
        <w:t>Shelby</w:t>
      </w:r>
      <w:r>
        <w:rPr>
          <w:rFonts w:asciiTheme="majorHAnsi" w:hAnsiTheme="majorHAnsi"/>
          <w:sz w:val="24"/>
          <w:szCs w:val="24"/>
        </w:rPr>
        <w:t xml:space="preserve"> County Engineer’s Office </w:t>
      </w:r>
      <w:r w:rsidR="00E156B3">
        <w:rPr>
          <w:rFonts w:asciiTheme="majorHAnsi" w:hAnsiTheme="majorHAnsi"/>
          <w:sz w:val="24"/>
          <w:szCs w:val="24"/>
        </w:rPr>
        <w:t>(S</w:t>
      </w:r>
      <w:r w:rsidR="00DD0E9D">
        <w:rPr>
          <w:rFonts w:asciiTheme="majorHAnsi" w:hAnsiTheme="majorHAnsi"/>
          <w:sz w:val="24"/>
          <w:szCs w:val="24"/>
        </w:rPr>
        <w:t xml:space="preserve">CEO) </w:t>
      </w:r>
      <w:r>
        <w:rPr>
          <w:rFonts w:asciiTheme="majorHAnsi" w:hAnsiTheme="majorHAnsi"/>
          <w:sz w:val="24"/>
          <w:szCs w:val="24"/>
        </w:rPr>
        <w:t xml:space="preserve">to provide </w:t>
      </w:r>
      <w:r w:rsidR="00DD0E9D">
        <w:rPr>
          <w:rFonts w:asciiTheme="majorHAnsi" w:hAnsiTheme="majorHAnsi"/>
          <w:sz w:val="24"/>
          <w:szCs w:val="24"/>
        </w:rPr>
        <w:t>Roadside Safety Audit</w:t>
      </w:r>
      <w:r>
        <w:rPr>
          <w:rFonts w:asciiTheme="majorHAnsi" w:hAnsiTheme="majorHAnsi"/>
          <w:sz w:val="24"/>
          <w:szCs w:val="24"/>
        </w:rPr>
        <w:t xml:space="preserve"> assistance to lower the accident rates for fatalities and </w:t>
      </w:r>
      <w:r w:rsidR="00DD0E9D">
        <w:rPr>
          <w:rFonts w:asciiTheme="majorHAnsi" w:hAnsiTheme="majorHAnsi"/>
          <w:sz w:val="24"/>
          <w:szCs w:val="24"/>
        </w:rPr>
        <w:t xml:space="preserve">lower </w:t>
      </w:r>
      <w:r>
        <w:rPr>
          <w:rFonts w:asciiTheme="majorHAnsi" w:hAnsiTheme="majorHAnsi"/>
          <w:sz w:val="24"/>
          <w:szCs w:val="24"/>
        </w:rPr>
        <w:t>the number of incapacitating injuries on the targeted roadways.  The Ohio LTAP Center</w:t>
      </w:r>
      <w:r w:rsidR="00DD0E9D">
        <w:rPr>
          <w:rFonts w:asciiTheme="majorHAnsi" w:hAnsiTheme="majorHAnsi"/>
          <w:sz w:val="24"/>
          <w:szCs w:val="24"/>
        </w:rPr>
        <w:t xml:space="preserve"> would partner with </w:t>
      </w:r>
      <w:r w:rsidR="00E156B3">
        <w:rPr>
          <w:rFonts w:asciiTheme="majorHAnsi" w:hAnsiTheme="majorHAnsi"/>
          <w:sz w:val="24"/>
          <w:szCs w:val="24"/>
        </w:rPr>
        <w:t>S</w:t>
      </w:r>
      <w:r w:rsidR="00B81959">
        <w:rPr>
          <w:rFonts w:asciiTheme="majorHAnsi" w:hAnsiTheme="majorHAnsi"/>
          <w:sz w:val="24"/>
          <w:szCs w:val="24"/>
        </w:rPr>
        <w:t>CEO</w:t>
      </w:r>
      <w:r>
        <w:rPr>
          <w:rFonts w:asciiTheme="majorHAnsi" w:hAnsiTheme="majorHAnsi"/>
          <w:sz w:val="24"/>
          <w:szCs w:val="24"/>
        </w:rPr>
        <w:t xml:space="preserve"> </w:t>
      </w:r>
      <w:r w:rsidR="00DD0E9D">
        <w:rPr>
          <w:rFonts w:asciiTheme="majorHAnsi" w:hAnsiTheme="majorHAnsi"/>
          <w:sz w:val="24"/>
          <w:szCs w:val="24"/>
        </w:rPr>
        <w:t>to</w:t>
      </w:r>
      <w:r>
        <w:rPr>
          <w:rFonts w:asciiTheme="majorHAnsi" w:hAnsiTheme="majorHAnsi"/>
          <w:sz w:val="24"/>
          <w:szCs w:val="24"/>
        </w:rPr>
        <w:t>:</w:t>
      </w:r>
    </w:p>
    <w:p w:rsidR="00F20EE6" w:rsidRDefault="00F20EE6" w:rsidP="00DD0E9D">
      <w:pPr>
        <w:pStyle w:val="ListParagraph"/>
        <w:numPr>
          <w:ilvl w:val="0"/>
          <w:numId w:val="5"/>
        </w:numPr>
        <w:ind w:left="1440"/>
        <w:rPr>
          <w:rFonts w:asciiTheme="majorHAnsi" w:hAnsiTheme="majorHAnsi"/>
          <w:sz w:val="24"/>
          <w:szCs w:val="24"/>
        </w:rPr>
      </w:pPr>
      <w:r>
        <w:rPr>
          <w:rFonts w:asciiTheme="majorHAnsi" w:hAnsiTheme="majorHAnsi"/>
          <w:sz w:val="24"/>
          <w:szCs w:val="24"/>
        </w:rPr>
        <w:t xml:space="preserve">Review the identified corridors and </w:t>
      </w:r>
      <w:r w:rsidR="00DD0E9D">
        <w:rPr>
          <w:rFonts w:asciiTheme="majorHAnsi" w:hAnsiTheme="majorHAnsi"/>
          <w:sz w:val="24"/>
          <w:szCs w:val="24"/>
        </w:rPr>
        <w:t xml:space="preserve">reach </w:t>
      </w:r>
      <w:r>
        <w:rPr>
          <w:rFonts w:asciiTheme="majorHAnsi" w:hAnsiTheme="majorHAnsi"/>
          <w:sz w:val="24"/>
          <w:szCs w:val="24"/>
        </w:rPr>
        <w:t>agree</w:t>
      </w:r>
      <w:r w:rsidR="00DD0E9D">
        <w:rPr>
          <w:rFonts w:asciiTheme="majorHAnsi" w:hAnsiTheme="majorHAnsi"/>
          <w:sz w:val="24"/>
          <w:szCs w:val="24"/>
        </w:rPr>
        <w:t>ment concerning</w:t>
      </w:r>
      <w:r>
        <w:rPr>
          <w:rFonts w:asciiTheme="majorHAnsi" w:hAnsiTheme="majorHAnsi"/>
          <w:sz w:val="24"/>
          <w:szCs w:val="24"/>
        </w:rPr>
        <w:t xml:space="preserve"> which corridors from the target list will be addressed as a part of this program.</w:t>
      </w:r>
      <w:r w:rsidR="001B3334">
        <w:rPr>
          <w:rStyle w:val="FootnoteReference"/>
          <w:rFonts w:asciiTheme="majorHAnsi" w:hAnsiTheme="majorHAnsi"/>
          <w:sz w:val="24"/>
          <w:szCs w:val="24"/>
        </w:rPr>
        <w:footnoteReference w:id="2"/>
      </w:r>
    </w:p>
    <w:p w:rsidR="00F20EE6" w:rsidRDefault="00F20EE6" w:rsidP="00DD0E9D">
      <w:pPr>
        <w:pStyle w:val="ListParagraph"/>
        <w:numPr>
          <w:ilvl w:val="0"/>
          <w:numId w:val="5"/>
        </w:numPr>
        <w:ind w:left="1440"/>
        <w:rPr>
          <w:rFonts w:asciiTheme="majorHAnsi" w:hAnsiTheme="majorHAnsi"/>
          <w:sz w:val="24"/>
          <w:szCs w:val="24"/>
        </w:rPr>
      </w:pPr>
      <w:r>
        <w:rPr>
          <w:rFonts w:asciiTheme="majorHAnsi" w:hAnsiTheme="majorHAnsi"/>
          <w:sz w:val="24"/>
          <w:szCs w:val="24"/>
        </w:rPr>
        <w:t xml:space="preserve">Build a team of community members – </w:t>
      </w:r>
      <w:r w:rsidR="00E156B3">
        <w:rPr>
          <w:rFonts w:asciiTheme="majorHAnsi" w:hAnsiTheme="majorHAnsi"/>
          <w:sz w:val="24"/>
          <w:szCs w:val="24"/>
        </w:rPr>
        <w:t>S</w:t>
      </w:r>
      <w:r w:rsidR="002575B5">
        <w:rPr>
          <w:rFonts w:asciiTheme="majorHAnsi" w:hAnsiTheme="majorHAnsi"/>
          <w:sz w:val="24"/>
          <w:szCs w:val="24"/>
        </w:rPr>
        <w:t>CEO</w:t>
      </w:r>
      <w:r>
        <w:rPr>
          <w:rFonts w:asciiTheme="majorHAnsi" w:hAnsiTheme="majorHAnsi"/>
          <w:sz w:val="24"/>
          <w:szCs w:val="24"/>
        </w:rPr>
        <w:t xml:space="preserve"> staff, law enforcement staff, members of the traveling public who frequent the identified corridors, etc., to participate in a Rural Road Safety Audit led by the </w:t>
      </w:r>
      <w:r w:rsidR="00E156B3">
        <w:rPr>
          <w:rFonts w:asciiTheme="majorHAnsi" w:hAnsiTheme="majorHAnsi"/>
          <w:sz w:val="24"/>
          <w:szCs w:val="24"/>
        </w:rPr>
        <w:t>S</w:t>
      </w:r>
      <w:r w:rsidR="002575B5">
        <w:rPr>
          <w:rFonts w:asciiTheme="majorHAnsi" w:hAnsiTheme="majorHAnsi"/>
          <w:sz w:val="24"/>
          <w:szCs w:val="24"/>
        </w:rPr>
        <w:t>CEO</w:t>
      </w:r>
      <w:r>
        <w:rPr>
          <w:rFonts w:asciiTheme="majorHAnsi" w:hAnsiTheme="majorHAnsi"/>
          <w:sz w:val="24"/>
          <w:szCs w:val="24"/>
        </w:rPr>
        <w:t xml:space="preserve"> and staff members from Ohio LTAP.</w:t>
      </w:r>
    </w:p>
    <w:p w:rsidR="00F20EE6" w:rsidRDefault="00F20EE6" w:rsidP="00DD0E9D">
      <w:pPr>
        <w:pStyle w:val="ListParagraph"/>
        <w:numPr>
          <w:ilvl w:val="0"/>
          <w:numId w:val="5"/>
        </w:numPr>
        <w:ind w:left="1440"/>
        <w:rPr>
          <w:rFonts w:asciiTheme="majorHAnsi" w:hAnsiTheme="majorHAnsi"/>
          <w:sz w:val="24"/>
          <w:szCs w:val="24"/>
        </w:rPr>
      </w:pPr>
      <w:r>
        <w:rPr>
          <w:rFonts w:asciiTheme="majorHAnsi" w:hAnsiTheme="majorHAnsi"/>
          <w:sz w:val="24"/>
          <w:szCs w:val="24"/>
        </w:rPr>
        <w:t>Schedul</w:t>
      </w:r>
      <w:r w:rsidR="00DD0E9D">
        <w:rPr>
          <w:rFonts w:asciiTheme="majorHAnsi" w:hAnsiTheme="majorHAnsi"/>
          <w:sz w:val="24"/>
          <w:szCs w:val="24"/>
        </w:rPr>
        <w:t>e</w:t>
      </w:r>
      <w:r>
        <w:rPr>
          <w:rFonts w:asciiTheme="majorHAnsi" w:hAnsiTheme="majorHAnsi"/>
          <w:sz w:val="24"/>
          <w:szCs w:val="24"/>
        </w:rPr>
        <w:t xml:space="preserve"> and complet</w:t>
      </w:r>
      <w:r w:rsidR="00DD0E9D">
        <w:rPr>
          <w:rFonts w:asciiTheme="majorHAnsi" w:hAnsiTheme="majorHAnsi"/>
          <w:sz w:val="24"/>
          <w:szCs w:val="24"/>
        </w:rPr>
        <w:t>e</w:t>
      </w:r>
      <w:r>
        <w:rPr>
          <w:rFonts w:asciiTheme="majorHAnsi" w:hAnsiTheme="majorHAnsi"/>
          <w:sz w:val="24"/>
          <w:szCs w:val="24"/>
        </w:rPr>
        <w:t xml:space="preserve"> the Rural Road Safety Audits with the aforementioned team.</w:t>
      </w:r>
    </w:p>
    <w:p w:rsidR="00F20EE6" w:rsidRDefault="00F20EE6" w:rsidP="00DD0E9D">
      <w:pPr>
        <w:pStyle w:val="ListParagraph"/>
        <w:numPr>
          <w:ilvl w:val="0"/>
          <w:numId w:val="5"/>
        </w:numPr>
        <w:ind w:left="1440"/>
        <w:rPr>
          <w:rFonts w:asciiTheme="majorHAnsi" w:hAnsiTheme="majorHAnsi"/>
          <w:sz w:val="24"/>
          <w:szCs w:val="24"/>
        </w:rPr>
      </w:pPr>
      <w:r>
        <w:rPr>
          <w:rFonts w:asciiTheme="majorHAnsi" w:hAnsiTheme="majorHAnsi"/>
          <w:sz w:val="24"/>
          <w:szCs w:val="24"/>
        </w:rPr>
        <w:t>Utiliz</w:t>
      </w:r>
      <w:r w:rsidR="00DD0E9D">
        <w:rPr>
          <w:rFonts w:asciiTheme="majorHAnsi" w:hAnsiTheme="majorHAnsi"/>
          <w:sz w:val="24"/>
          <w:szCs w:val="24"/>
        </w:rPr>
        <w:t>e</w:t>
      </w:r>
      <w:r>
        <w:rPr>
          <w:rFonts w:asciiTheme="majorHAnsi" w:hAnsiTheme="majorHAnsi"/>
          <w:sz w:val="24"/>
          <w:szCs w:val="24"/>
        </w:rPr>
        <w:t xml:space="preserve"> the information from the completed Rural Road Safety Audit to create a findings report in partnership with the Ohio LTAP center’s report writer.</w:t>
      </w:r>
    </w:p>
    <w:p w:rsidR="00F20EE6" w:rsidRDefault="00F20EE6" w:rsidP="00DD0E9D">
      <w:pPr>
        <w:pStyle w:val="ListParagraph"/>
        <w:numPr>
          <w:ilvl w:val="0"/>
          <w:numId w:val="5"/>
        </w:numPr>
        <w:ind w:left="1440"/>
        <w:rPr>
          <w:rFonts w:asciiTheme="majorHAnsi" w:hAnsiTheme="majorHAnsi"/>
          <w:sz w:val="24"/>
          <w:szCs w:val="24"/>
        </w:rPr>
      </w:pPr>
      <w:r>
        <w:rPr>
          <w:rFonts w:asciiTheme="majorHAnsi" w:hAnsiTheme="majorHAnsi"/>
          <w:sz w:val="24"/>
          <w:szCs w:val="24"/>
        </w:rPr>
        <w:t>Complet</w:t>
      </w:r>
      <w:r w:rsidR="00DD0E9D">
        <w:rPr>
          <w:rFonts w:asciiTheme="majorHAnsi" w:hAnsiTheme="majorHAnsi"/>
          <w:sz w:val="24"/>
          <w:szCs w:val="24"/>
        </w:rPr>
        <w:t>e</w:t>
      </w:r>
      <w:r>
        <w:rPr>
          <w:rFonts w:asciiTheme="majorHAnsi" w:hAnsiTheme="majorHAnsi"/>
          <w:sz w:val="24"/>
          <w:szCs w:val="24"/>
        </w:rPr>
        <w:t xml:space="preserve"> a grant application with the assistance of the Ohio LTAP Center’s grant writer for 90% or possible 100%</w:t>
      </w:r>
      <w:r>
        <w:rPr>
          <w:rStyle w:val="FootnoteReference"/>
          <w:rFonts w:asciiTheme="majorHAnsi" w:hAnsiTheme="majorHAnsi"/>
          <w:sz w:val="24"/>
          <w:szCs w:val="24"/>
        </w:rPr>
        <w:footnoteReference w:id="3"/>
      </w:r>
      <w:r>
        <w:rPr>
          <w:rFonts w:asciiTheme="majorHAnsi" w:hAnsiTheme="majorHAnsi"/>
          <w:sz w:val="24"/>
          <w:szCs w:val="24"/>
        </w:rPr>
        <w:t xml:space="preserve">  funding of the recommended safety improvements by ODOT </w:t>
      </w:r>
      <w:r w:rsidR="00DD0E9D">
        <w:rPr>
          <w:rFonts w:asciiTheme="majorHAnsi" w:hAnsiTheme="majorHAnsi"/>
          <w:sz w:val="24"/>
          <w:szCs w:val="24"/>
        </w:rPr>
        <w:t>Safety Program</w:t>
      </w:r>
      <w:r>
        <w:rPr>
          <w:rFonts w:asciiTheme="majorHAnsi" w:hAnsiTheme="majorHAnsi"/>
          <w:sz w:val="24"/>
          <w:szCs w:val="24"/>
        </w:rPr>
        <w:t>.</w:t>
      </w:r>
    </w:p>
    <w:p w:rsidR="00F20EE6" w:rsidRDefault="00F20EE6" w:rsidP="00DD0E9D">
      <w:pPr>
        <w:pStyle w:val="ListParagraph"/>
        <w:numPr>
          <w:ilvl w:val="0"/>
          <w:numId w:val="5"/>
        </w:numPr>
        <w:ind w:left="1440"/>
        <w:rPr>
          <w:rFonts w:asciiTheme="majorHAnsi" w:hAnsiTheme="majorHAnsi"/>
          <w:sz w:val="24"/>
          <w:szCs w:val="24"/>
        </w:rPr>
      </w:pPr>
      <w:r>
        <w:rPr>
          <w:rFonts w:asciiTheme="majorHAnsi" w:hAnsiTheme="majorHAnsi"/>
          <w:sz w:val="24"/>
          <w:szCs w:val="24"/>
        </w:rPr>
        <w:t xml:space="preserve">If the grant application is approved, assistance will also be provided by the Ohio LTAP Center’s staff to </w:t>
      </w:r>
      <w:r w:rsidR="00E156B3">
        <w:rPr>
          <w:rFonts w:asciiTheme="majorHAnsi" w:hAnsiTheme="majorHAnsi"/>
          <w:sz w:val="24"/>
          <w:szCs w:val="24"/>
        </w:rPr>
        <w:t>S</w:t>
      </w:r>
      <w:r w:rsidR="002575B5">
        <w:rPr>
          <w:rFonts w:asciiTheme="majorHAnsi" w:hAnsiTheme="majorHAnsi"/>
          <w:sz w:val="24"/>
          <w:szCs w:val="24"/>
        </w:rPr>
        <w:t>CEO</w:t>
      </w:r>
      <w:r>
        <w:rPr>
          <w:rFonts w:asciiTheme="majorHAnsi" w:hAnsiTheme="majorHAnsi"/>
          <w:sz w:val="24"/>
          <w:szCs w:val="24"/>
        </w:rPr>
        <w:t xml:space="preserve"> to complete all documentation required under the terms and conditions of the grant from the ODOT Safety Program.</w:t>
      </w:r>
    </w:p>
    <w:p w:rsidR="006140F8" w:rsidRDefault="00F20EE6" w:rsidP="001B3334">
      <w:pPr>
        <w:ind w:left="720"/>
      </w:pPr>
      <w:r>
        <w:rPr>
          <w:rFonts w:asciiTheme="majorHAnsi" w:hAnsiTheme="majorHAnsi"/>
          <w:sz w:val="24"/>
          <w:szCs w:val="24"/>
        </w:rPr>
        <w:t>The</w:t>
      </w:r>
      <w:r w:rsidR="00E156B3">
        <w:rPr>
          <w:rFonts w:asciiTheme="majorHAnsi" w:hAnsiTheme="majorHAnsi"/>
          <w:sz w:val="24"/>
          <w:szCs w:val="24"/>
        </w:rPr>
        <w:t xml:space="preserve"> ODOT Safety Program encourages S</w:t>
      </w:r>
      <w:r w:rsidR="002575B5">
        <w:rPr>
          <w:rFonts w:asciiTheme="majorHAnsi" w:hAnsiTheme="majorHAnsi"/>
          <w:sz w:val="24"/>
          <w:szCs w:val="24"/>
        </w:rPr>
        <w:t>CEO</w:t>
      </w:r>
      <w:r>
        <w:rPr>
          <w:rFonts w:asciiTheme="majorHAnsi" w:hAnsiTheme="majorHAnsi"/>
          <w:sz w:val="24"/>
          <w:szCs w:val="24"/>
        </w:rPr>
        <w:t xml:space="preserve"> to take full advantage of the Ohio LTAP Center’s assistance to address these high concern corridors through the available HRRR funding.</w:t>
      </w:r>
      <w:r w:rsidR="006140F8">
        <w:br w:type="page"/>
      </w:r>
    </w:p>
    <w:p w:rsidR="002575B5" w:rsidRDefault="002575B5" w:rsidP="002575B5">
      <w:pPr>
        <w:spacing w:after="0" w:line="240" w:lineRule="auto"/>
        <w:jc w:val="center"/>
        <w:rPr>
          <w:rFonts w:ascii="Cambria" w:eastAsia="Times New Roman" w:hAnsi="Cambria"/>
          <w:b/>
          <w:bCs/>
          <w:color w:val="365F91"/>
          <w:sz w:val="28"/>
          <w:szCs w:val="28"/>
        </w:rPr>
      </w:pPr>
      <w:r>
        <w:object w:dxaOrig="11369" w:dyaOrig="15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8pt;height:594pt" o:ole="">
            <v:imagedata r:id="rId12" o:title=""/>
          </v:shape>
          <o:OLEObject Type="Embed" ProgID="Visio.Drawing.11" ShapeID="_x0000_i1025" DrawAspect="Content" ObjectID="_1409546872" r:id="rId13"/>
        </w:object>
      </w:r>
    </w:p>
    <w:p w:rsidR="002575B5" w:rsidRDefault="002575B5">
      <w:pPr>
        <w:spacing w:after="0" w:line="240" w:lineRule="auto"/>
        <w:rPr>
          <w:rFonts w:ascii="Cambria" w:eastAsia="Times New Roman" w:hAnsi="Cambria"/>
          <w:b/>
          <w:bCs/>
          <w:color w:val="365F91"/>
          <w:sz w:val="28"/>
          <w:szCs w:val="28"/>
        </w:rPr>
      </w:pPr>
      <w:r>
        <w:br w:type="page"/>
      </w:r>
    </w:p>
    <w:p w:rsidR="006140F8" w:rsidRDefault="00DD0E9D" w:rsidP="006140F8">
      <w:pPr>
        <w:pStyle w:val="Heading1"/>
        <w:jc w:val="center"/>
      </w:pPr>
      <w:bookmarkStart w:id="17" w:name="_Toc327366909"/>
      <w:r>
        <w:lastRenderedPageBreak/>
        <w:t xml:space="preserve">Routes </w:t>
      </w:r>
      <w:r w:rsidR="006140F8">
        <w:t>Proposed for Review</w:t>
      </w:r>
      <w:bookmarkEnd w:id="17"/>
    </w:p>
    <w:p w:rsidR="005D0636" w:rsidRDefault="006C5BFD" w:rsidP="005D0636">
      <w:pPr>
        <w:spacing w:after="0" w:line="240" w:lineRule="auto"/>
        <w:jc w:val="center"/>
      </w:pPr>
      <w:r>
        <w:rPr>
          <w:noProof/>
        </w:rPr>
        <w:drawing>
          <wp:inline distT="0" distB="0" distL="0" distR="0">
            <wp:extent cx="6343650" cy="824055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3650" cy="8240559"/>
                    </a:xfrm>
                    <a:prstGeom prst="rect">
                      <a:avLst/>
                    </a:prstGeom>
                    <a:noFill/>
                    <a:ln>
                      <a:noFill/>
                    </a:ln>
                  </pic:spPr>
                </pic:pic>
              </a:graphicData>
            </a:graphic>
          </wp:inline>
        </w:drawing>
      </w:r>
    </w:p>
    <w:p w:rsidR="001B58A6" w:rsidRDefault="001B58A6" w:rsidP="00F72B03">
      <w:pPr>
        <w:jc w:val="center"/>
      </w:pPr>
    </w:p>
    <w:p w:rsidR="002251D6" w:rsidRPr="002251D6" w:rsidRDefault="00355D87" w:rsidP="00F72B03">
      <w:pPr>
        <w:numPr>
          <w:ilvl w:val="0"/>
          <w:numId w:val="2"/>
        </w:numPr>
        <w:rPr>
          <w:rFonts w:ascii="Cambria" w:eastAsia="Times New Roman" w:hAnsi="Cambria"/>
          <w:color w:val="365F91"/>
          <w:sz w:val="28"/>
          <w:szCs w:val="28"/>
        </w:rPr>
      </w:pPr>
      <w:r>
        <w:t>Shelby</w:t>
      </w:r>
      <w:r w:rsidR="002251D6">
        <w:t xml:space="preserve"> County – </w:t>
      </w:r>
      <w:r>
        <w:t>SHE</w:t>
      </w:r>
      <w:r w:rsidR="00F72B03" w:rsidRPr="00F72B03">
        <w:t>-CR-</w:t>
      </w:r>
      <w:r>
        <w:t>45</w:t>
      </w:r>
      <w:r w:rsidR="00F72B03">
        <w:t xml:space="preserve"> </w:t>
      </w:r>
      <w:r w:rsidR="00D13FB8">
        <w:t>County Road 45</w:t>
      </w:r>
      <w:r w:rsidR="00F72B03">
        <w:t xml:space="preserve">. </w:t>
      </w:r>
    </w:p>
    <w:p w:rsidR="00C5593E" w:rsidRPr="006E10A4" w:rsidRDefault="002251D6" w:rsidP="00C5593E">
      <w:pPr>
        <w:pStyle w:val="ListParagraph"/>
        <w:numPr>
          <w:ilvl w:val="1"/>
          <w:numId w:val="2"/>
        </w:numPr>
        <w:rPr>
          <w:i/>
        </w:rPr>
      </w:pPr>
      <w:r w:rsidRPr="00C5593E">
        <w:t>Rated #</w:t>
      </w:r>
      <w:r w:rsidR="00355D87">
        <w:t>1</w:t>
      </w:r>
      <w:r w:rsidRPr="00C5593E">
        <w:t xml:space="preserve"> </w:t>
      </w:r>
      <w:r w:rsidR="00D13FB8">
        <w:t>on the 2006-2010 data analysis</w:t>
      </w:r>
      <w:r w:rsidR="001B3334">
        <w:t xml:space="preserve"> </w:t>
      </w:r>
      <w:r w:rsidRPr="00C5593E">
        <w:t>in the State of Ohio</w:t>
      </w:r>
      <w:r w:rsidR="00C5593E" w:rsidRPr="00C5593E">
        <w:t xml:space="preserve"> under </w:t>
      </w:r>
      <w:r w:rsidR="006E10A4">
        <w:t>the</w:t>
      </w:r>
      <w:r w:rsidR="00C5593E">
        <w:t xml:space="preserve"> formula</w:t>
      </w:r>
      <w:r w:rsidR="006E10A4">
        <w:rPr>
          <w:rStyle w:val="FootnoteReference"/>
        </w:rPr>
        <w:footnoteReference w:id="4"/>
      </w:r>
      <w:r w:rsidR="00C5593E">
        <w:t xml:space="preserve"> utilized by the ODOT Safety Program</w:t>
      </w:r>
    </w:p>
    <w:p w:rsidR="00C5593E" w:rsidRDefault="00355D87" w:rsidP="006E10A4">
      <w:pPr>
        <w:jc w:val="center"/>
        <w:rPr>
          <w:i/>
        </w:rPr>
      </w:pPr>
      <w:r>
        <w:rPr>
          <w:noProof/>
        </w:rPr>
        <w:drawing>
          <wp:inline distT="0" distB="0" distL="0" distR="0" wp14:anchorId="5AF02394" wp14:editId="77838F64">
            <wp:extent cx="5669772" cy="294157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9772" cy="2941575"/>
                    </a:xfrm>
                    <a:prstGeom prst="rect">
                      <a:avLst/>
                    </a:prstGeom>
                  </pic:spPr>
                </pic:pic>
              </a:graphicData>
            </a:graphic>
          </wp:inline>
        </w:drawing>
      </w:r>
    </w:p>
    <w:p w:rsidR="006E10A4" w:rsidRPr="00D13FB8" w:rsidRDefault="006E10A4" w:rsidP="006E10A4">
      <w:pPr>
        <w:jc w:val="center"/>
        <w:rPr>
          <w:rFonts w:ascii="Trebuchet MS" w:hAnsi="Trebuchet MS"/>
          <w:b/>
        </w:rPr>
      </w:pPr>
      <w:r w:rsidRPr="00D13FB8">
        <w:rPr>
          <w:rFonts w:ascii="Trebuchet MS" w:hAnsi="Trebuchet MS"/>
          <w:b/>
        </w:rPr>
        <w:t xml:space="preserve">Image 1 – </w:t>
      </w:r>
      <w:r w:rsidR="00D13FB8" w:rsidRPr="00D13FB8">
        <w:rPr>
          <w:rFonts w:ascii="Trebuchet MS" w:hAnsi="Trebuchet MS"/>
          <w:b/>
        </w:rPr>
        <w:t>SHE-CR-45</w:t>
      </w:r>
    </w:p>
    <w:p w:rsidR="00F31B6F" w:rsidRDefault="00F31B6F" w:rsidP="00C5593E">
      <w:pPr>
        <w:jc w:val="center"/>
        <w:rPr>
          <w:rFonts w:ascii="Cambria" w:eastAsia="Times New Roman" w:hAnsi="Cambria"/>
          <w:color w:val="365F91"/>
          <w:sz w:val="28"/>
          <w:szCs w:val="28"/>
        </w:rPr>
      </w:pPr>
    </w:p>
    <w:p w:rsidR="00F31B6F" w:rsidRDefault="00D13FB8" w:rsidP="00C5593E">
      <w:pPr>
        <w:jc w:val="center"/>
        <w:rPr>
          <w:rFonts w:ascii="Cambria" w:eastAsia="Times New Roman" w:hAnsi="Cambria"/>
          <w:color w:val="365F91"/>
          <w:sz w:val="28"/>
          <w:szCs w:val="28"/>
        </w:rPr>
      </w:pPr>
      <w:r>
        <w:rPr>
          <w:noProof/>
        </w:rPr>
        <w:lastRenderedPageBreak/>
        <w:drawing>
          <wp:inline distT="0" distB="0" distL="0" distR="0" wp14:anchorId="7F7E85E6" wp14:editId="3A17E7A8">
            <wp:extent cx="5943600" cy="4548505"/>
            <wp:effectExtent l="0" t="0" r="0" b="44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5593E" w:rsidRDefault="00C5593E" w:rsidP="00C5593E">
      <w:pPr>
        <w:jc w:val="center"/>
        <w:rPr>
          <w:rFonts w:ascii="Cambria" w:eastAsia="Times New Roman" w:hAnsi="Cambria"/>
          <w:color w:val="365F91"/>
          <w:sz w:val="28"/>
          <w:szCs w:val="28"/>
        </w:rPr>
      </w:pPr>
    </w:p>
    <w:p w:rsidR="00C5593E" w:rsidRDefault="00C5593E" w:rsidP="00C5593E">
      <w:pPr>
        <w:jc w:val="center"/>
        <w:rPr>
          <w:rFonts w:ascii="Trebuchet MS" w:hAnsi="Trebuchet MS"/>
          <w:b/>
        </w:rPr>
      </w:pPr>
      <w:r w:rsidRPr="00C5593E">
        <w:rPr>
          <w:rFonts w:ascii="Trebuchet MS" w:hAnsi="Trebuchet MS"/>
          <w:b/>
        </w:rPr>
        <w:t xml:space="preserve">Chart 1 – </w:t>
      </w:r>
      <w:r w:rsidR="00D13FB8" w:rsidRPr="00D13FB8">
        <w:rPr>
          <w:rFonts w:ascii="Trebuchet MS" w:hAnsi="Trebuchet MS"/>
          <w:b/>
        </w:rPr>
        <w:t>SHE-CR-45</w:t>
      </w:r>
      <w:r w:rsidRPr="00C5593E">
        <w:rPr>
          <w:rFonts w:ascii="Trebuchet MS" w:hAnsi="Trebuchet MS"/>
          <w:b/>
        </w:rPr>
        <w:t>Frequency of Crashe</w:t>
      </w:r>
      <w:r>
        <w:rPr>
          <w:rFonts w:ascii="Trebuchet MS" w:hAnsi="Trebuchet MS"/>
          <w:b/>
        </w:rPr>
        <w:t>s</w:t>
      </w:r>
      <w:r w:rsidRPr="00C5593E">
        <w:rPr>
          <w:rFonts w:ascii="Trebuchet MS" w:hAnsi="Trebuchet MS"/>
          <w:b/>
        </w:rPr>
        <w:t xml:space="preserve"> by Year</w:t>
      </w:r>
    </w:p>
    <w:p w:rsidR="00C5593E" w:rsidRPr="002251D6" w:rsidRDefault="00C5593E" w:rsidP="00C5593E">
      <w:pPr>
        <w:jc w:val="center"/>
        <w:rPr>
          <w:rFonts w:ascii="Cambria" w:eastAsia="Times New Roman" w:hAnsi="Cambria"/>
          <w:color w:val="365F91"/>
          <w:sz w:val="28"/>
          <w:szCs w:val="28"/>
        </w:rPr>
      </w:pPr>
    </w:p>
    <w:p w:rsidR="00F31B6F" w:rsidRDefault="00D13FB8" w:rsidP="00C5593E">
      <w:pPr>
        <w:jc w:val="center"/>
      </w:pPr>
      <w:r>
        <w:rPr>
          <w:noProof/>
        </w:rPr>
        <w:lastRenderedPageBreak/>
        <w:drawing>
          <wp:inline distT="0" distB="0" distL="0" distR="0" wp14:anchorId="56F3AFD8" wp14:editId="787E9F11">
            <wp:extent cx="5943600" cy="4675505"/>
            <wp:effectExtent l="0" t="0" r="19050" b="1079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31B6F" w:rsidRDefault="00F31B6F" w:rsidP="00C5593E">
      <w:pPr>
        <w:jc w:val="center"/>
      </w:pPr>
    </w:p>
    <w:p w:rsidR="00C5593E" w:rsidRDefault="00C5593E" w:rsidP="00C5593E">
      <w:pPr>
        <w:jc w:val="center"/>
      </w:pPr>
    </w:p>
    <w:p w:rsidR="00C5593E" w:rsidRDefault="00C5593E" w:rsidP="00C5593E">
      <w:pPr>
        <w:jc w:val="center"/>
        <w:rPr>
          <w:rFonts w:ascii="Trebuchet MS" w:hAnsi="Trebuchet MS"/>
          <w:b/>
        </w:rPr>
      </w:pPr>
      <w:r w:rsidRPr="00C5593E">
        <w:rPr>
          <w:rFonts w:ascii="Trebuchet MS" w:hAnsi="Trebuchet MS"/>
          <w:b/>
        </w:rPr>
        <w:t xml:space="preserve">Chart </w:t>
      </w:r>
      <w:r>
        <w:rPr>
          <w:rFonts w:ascii="Trebuchet MS" w:hAnsi="Trebuchet MS"/>
          <w:b/>
        </w:rPr>
        <w:t>2</w:t>
      </w:r>
      <w:r w:rsidRPr="00C5593E">
        <w:rPr>
          <w:rFonts w:ascii="Trebuchet MS" w:hAnsi="Trebuchet MS"/>
          <w:b/>
        </w:rPr>
        <w:t xml:space="preserve"> – </w:t>
      </w:r>
      <w:r w:rsidR="00D13FB8" w:rsidRPr="00D13FB8">
        <w:rPr>
          <w:rFonts w:ascii="Trebuchet MS" w:hAnsi="Trebuchet MS"/>
          <w:b/>
        </w:rPr>
        <w:t>SHE-CR-45</w:t>
      </w:r>
      <w:r w:rsidRPr="00C5593E">
        <w:rPr>
          <w:rFonts w:ascii="Trebuchet MS" w:hAnsi="Trebuchet MS"/>
          <w:b/>
        </w:rPr>
        <w:t>Frequency of Crashe</w:t>
      </w:r>
      <w:r>
        <w:rPr>
          <w:rFonts w:ascii="Trebuchet MS" w:hAnsi="Trebuchet MS"/>
          <w:b/>
        </w:rPr>
        <w:t>s</w:t>
      </w:r>
      <w:r w:rsidRPr="00C5593E">
        <w:rPr>
          <w:rFonts w:ascii="Trebuchet MS" w:hAnsi="Trebuchet MS"/>
          <w:b/>
        </w:rPr>
        <w:t xml:space="preserve"> by Year and Severity</w:t>
      </w:r>
    </w:p>
    <w:p w:rsidR="00F31B6F" w:rsidRDefault="00F31B6F" w:rsidP="00C5593E">
      <w:pPr>
        <w:jc w:val="center"/>
        <w:rPr>
          <w:rFonts w:ascii="Trebuchet MS" w:hAnsi="Trebuchet MS"/>
          <w:b/>
        </w:rPr>
      </w:pPr>
    </w:p>
    <w:p w:rsidR="00F31B6F" w:rsidRDefault="00F31B6F" w:rsidP="00C5593E">
      <w:pPr>
        <w:jc w:val="center"/>
        <w:rPr>
          <w:rFonts w:ascii="Trebuchet MS" w:hAnsi="Trebuchet MS"/>
          <w:b/>
        </w:rPr>
      </w:pPr>
    </w:p>
    <w:p w:rsidR="00F31B6F" w:rsidRDefault="00F31B6F" w:rsidP="00C5593E">
      <w:pPr>
        <w:jc w:val="center"/>
        <w:rPr>
          <w:rFonts w:ascii="Trebuchet MS" w:hAnsi="Trebuchet MS"/>
          <w:b/>
        </w:rPr>
      </w:pPr>
    </w:p>
    <w:p w:rsidR="00F31B6F" w:rsidRDefault="00F31B6F" w:rsidP="00C5593E">
      <w:pPr>
        <w:jc w:val="center"/>
        <w:rPr>
          <w:rFonts w:ascii="Trebuchet MS" w:hAnsi="Trebuchet MS"/>
          <w:b/>
        </w:rPr>
      </w:pPr>
    </w:p>
    <w:p w:rsidR="00F31B6F" w:rsidRDefault="00F31B6F" w:rsidP="00C5593E">
      <w:pPr>
        <w:jc w:val="center"/>
        <w:rPr>
          <w:rFonts w:ascii="Trebuchet MS" w:hAnsi="Trebuchet MS"/>
          <w:b/>
        </w:rPr>
      </w:pPr>
    </w:p>
    <w:p w:rsidR="00F31B6F" w:rsidRDefault="00F31B6F" w:rsidP="00C5593E">
      <w:pPr>
        <w:jc w:val="center"/>
        <w:rPr>
          <w:rFonts w:ascii="Trebuchet MS" w:hAnsi="Trebuchet MS"/>
          <w:b/>
        </w:rPr>
      </w:pPr>
    </w:p>
    <w:p w:rsidR="00F31B6F" w:rsidRDefault="00F31B6F" w:rsidP="00C5593E">
      <w:pPr>
        <w:jc w:val="center"/>
        <w:rPr>
          <w:rFonts w:ascii="Trebuchet MS" w:hAnsi="Trebuchet MS"/>
          <w:b/>
        </w:rPr>
      </w:pPr>
    </w:p>
    <w:p w:rsidR="00F31B6F" w:rsidRDefault="00F31B6F" w:rsidP="00C5593E">
      <w:pPr>
        <w:jc w:val="center"/>
        <w:rPr>
          <w:rFonts w:ascii="Trebuchet MS" w:hAnsi="Trebuchet MS"/>
          <w:b/>
        </w:rPr>
      </w:pPr>
    </w:p>
    <w:p w:rsidR="00050421" w:rsidRDefault="00050421" w:rsidP="00C5593E">
      <w:pPr>
        <w:jc w:val="center"/>
        <w:rPr>
          <w:rFonts w:ascii="Trebuchet MS" w:hAnsi="Trebuchet MS"/>
          <w:b/>
        </w:rPr>
      </w:pPr>
    </w:p>
    <w:p w:rsidR="00050421" w:rsidRDefault="00D13FB8" w:rsidP="00C5593E">
      <w:pPr>
        <w:jc w:val="center"/>
        <w:rPr>
          <w:rFonts w:ascii="Trebuchet MS" w:hAnsi="Trebuchet MS"/>
          <w:b/>
        </w:rPr>
      </w:pPr>
      <w:r>
        <w:rPr>
          <w:noProof/>
        </w:rPr>
        <w:lastRenderedPageBreak/>
        <w:drawing>
          <wp:inline distT="0" distB="0" distL="0" distR="0" wp14:anchorId="77EEF96E" wp14:editId="325D4463">
            <wp:extent cx="5943600" cy="404050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3672C" w:rsidRDefault="00D3672C" w:rsidP="00D3672C">
      <w:pPr>
        <w:jc w:val="center"/>
        <w:rPr>
          <w:rFonts w:ascii="Trebuchet MS" w:hAnsi="Trebuchet MS"/>
          <w:b/>
        </w:rPr>
      </w:pPr>
      <w:r w:rsidRPr="00C5593E">
        <w:rPr>
          <w:rFonts w:ascii="Trebuchet MS" w:hAnsi="Trebuchet MS"/>
          <w:b/>
        </w:rPr>
        <w:t xml:space="preserve">Chart </w:t>
      </w:r>
      <w:r>
        <w:rPr>
          <w:rFonts w:ascii="Trebuchet MS" w:hAnsi="Trebuchet MS"/>
          <w:b/>
        </w:rPr>
        <w:t>3</w:t>
      </w:r>
      <w:r w:rsidRPr="00C5593E">
        <w:rPr>
          <w:rFonts w:ascii="Trebuchet MS" w:hAnsi="Trebuchet MS"/>
          <w:b/>
        </w:rPr>
        <w:t xml:space="preserve"> – </w:t>
      </w:r>
      <w:r w:rsidR="00D13FB8" w:rsidRPr="00D13FB8">
        <w:rPr>
          <w:rFonts w:ascii="Trebuchet MS" w:hAnsi="Trebuchet MS"/>
          <w:b/>
        </w:rPr>
        <w:t>SHE-CR-45</w:t>
      </w:r>
      <w:r w:rsidRPr="00C5593E">
        <w:rPr>
          <w:rFonts w:ascii="Trebuchet MS" w:hAnsi="Trebuchet MS"/>
          <w:b/>
        </w:rPr>
        <w:t>Frequency of Crashe</w:t>
      </w:r>
      <w:r>
        <w:rPr>
          <w:rFonts w:ascii="Trebuchet MS" w:hAnsi="Trebuchet MS"/>
          <w:b/>
        </w:rPr>
        <w:t>s</w:t>
      </w:r>
      <w:r w:rsidRPr="00C5593E">
        <w:rPr>
          <w:rFonts w:ascii="Trebuchet MS" w:hAnsi="Trebuchet MS"/>
          <w:b/>
        </w:rPr>
        <w:t xml:space="preserve"> by </w:t>
      </w:r>
      <w:r>
        <w:rPr>
          <w:rFonts w:ascii="Trebuchet MS" w:hAnsi="Trebuchet MS"/>
          <w:b/>
        </w:rPr>
        <w:t>Hour</w:t>
      </w:r>
    </w:p>
    <w:p w:rsidR="00D3672C" w:rsidRDefault="00D3672C" w:rsidP="00C5593E">
      <w:pPr>
        <w:jc w:val="center"/>
        <w:rPr>
          <w:rFonts w:ascii="Trebuchet MS" w:hAnsi="Trebuchet MS"/>
          <w:b/>
        </w:rPr>
      </w:pPr>
    </w:p>
    <w:p w:rsidR="00F60EA8" w:rsidRDefault="00F60EA8" w:rsidP="00C5593E">
      <w:pPr>
        <w:jc w:val="center"/>
        <w:rPr>
          <w:rFonts w:ascii="Trebuchet MS" w:hAnsi="Trebuchet MS"/>
          <w:b/>
        </w:rPr>
      </w:pPr>
    </w:p>
    <w:p w:rsidR="00E52DE4" w:rsidRDefault="005A400A" w:rsidP="00E52DE4">
      <w:pPr>
        <w:spacing w:after="0" w:line="240" w:lineRule="auto"/>
        <w:jc w:val="center"/>
      </w:pPr>
      <w:r>
        <w:br w:type="page"/>
      </w:r>
      <w:r w:rsidR="00E52DE4">
        <w:rPr>
          <w:noProof/>
        </w:rPr>
        <w:lastRenderedPageBreak/>
        <w:drawing>
          <wp:inline distT="0" distB="0" distL="0" distR="0" wp14:anchorId="5D2F7EC0" wp14:editId="2337C46A">
            <wp:extent cx="5943600" cy="3835400"/>
            <wp:effectExtent l="0" t="0" r="19050" b="127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52DE4" w:rsidRDefault="00E52DE4" w:rsidP="00E52DE4">
      <w:pPr>
        <w:spacing w:after="0" w:line="240" w:lineRule="auto"/>
        <w:jc w:val="center"/>
      </w:pPr>
    </w:p>
    <w:p w:rsidR="00E52DE4" w:rsidRDefault="00E52DE4" w:rsidP="00E52DE4">
      <w:pPr>
        <w:spacing w:after="0" w:line="240" w:lineRule="auto"/>
        <w:jc w:val="center"/>
      </w:pPr>
      <w:r>
        <w:rPr>
          <w:noProof/>
        </w:rPr>
        <w:drawing>
          <wp:inline distT="0" distB="0" distL="0" distR="0" wp14:anchorId="074FB0A7" wp14:editId="44EF704C">
            <wp:extent cx="5943600" cy="3813810"/>
            <wp:effectExtent l="0" t="0" r="19050" b="1524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52DE4" w:rsidRDefault="00E52DE4">
      <w:pPr>
        <w:spacing w:after="0" w:line="240" w:lineRule="auto"/>
      </w:pPr>
      <w:r>
        <w:br w:type="page"/>
      </w:r>
    </w:p>
    <w:p w:rsidR="005A400A" w:rsidRDefault="005A400A">
      <w:pPr>
        <w:spacing w:after="0" w:line="240" w:lineRule="auto"/>
      </w:pPr>
    </w:p>
    <w:p w:rsidR="00D3672C" w:rsidRPr="002251D6" w:rsidRDefault="0060090D" w:rsidP="00D3672C">
      <w:pPr>
        <w:numPr>
          <w:ilvl w:val="0"/>
          <w:numId w:val="2"/>
        </w:numPr>
        <w:rPr>
          <w:rFonts w:ascii="Cambria" w:eastAsia="Times New Roman" w:hAnsi="Cambria"/>
          <w:color w:val="365F91"/>
          <w:sz w:val="28"/>
          <w:szCs w:val="28"/>
        </w:rPr>
      </w:pPr>
      <w:r>
        <w:t>Shelby</w:t>
      </w:r>
      <w:r w:rsidR="00D3672C">
        <w:t xml:space="preserve"> County – </w:t>
      </w:r>
      <w:r w:rsidR="00A66831">
        <w:t>SHE</w:t>
      </w:r>
      <w:r w:rsidR="00D3672C">
        <w:t>-CR-</w:t>
      </w:r>
      <w:r w:rsidR="00A66831">
        <w:t>26</w:t>
      </w:r>
      <w:r w:rsidR="00413E47">
        <w:t xml:space="preserve"> – </w:t>
      </w:r>
      <w:r w:rsidR="00A66831">
        <w:t>W. Mill Creek Road</w:t>
      </w:r>
      <w:r w:rsidR="00413E47">
        <w:t xml:space="preserve"> </w:t>
      </w:r>
    </w:p>
    <w:p w:rsidR="00850FB5" w:rsidRPr="00850FB5" w:rsidRDefault="00D3672C" w:rsidP="00850FB5">
      <w:pPr>
        <w:pStyle w:val="ListParagraph"/>
        <w:numPr>
          <w:ilvl w:val="1"/>
          <w:numId w:val="2"/>
        </w:numPr>
        <w:rPr>
          <w:i/>
        </w:rPr>
      </w:pPr>
      <w:r w:rsidRPr="00C5593E">
        <w:t>Rated #</w:t>
      </w:r>
      <w:r w:rsidR="00A66831">
        <w:t xml:space="preserve"> 12 </w:t>
      </w:r>
      <w:r w:rsidR="00850FB5">
        <w:t xml:space="preserve">on the 2006-2010 data analysis </w:t>
      </w:r>
      <w:r w:rsidR="00850FB5" w:rsidRPr="00C5593E">
        <w:t xml:space="preserve">in the State of Ohio under </w:t>
      </w:r>
      <w:r w:rsidR="00850FB5">
        <w:t>the formula</w:t>
      </w:r>
      <w:r w:rsidR="00850FB5">
        <w:rPr>
          <w:rStyle w:val="FootnoteReference"/>
        </w:rPr>
        <w:footnoteReference w:id="5"/>
      </w:r>
      <w:r w:rsidR="00850FB5">
        <w:t xml:space="preserve"> utilized by the ODOT Safety Program</w:t>
      </w:r>
      <w:r w:rsidR="00850FB5">
        <w:rPr>
          <w:noProof/>
        </w:rPr>
        <w:t xml:space="preserve"> </w:t>
      </w:r>
    </w:p>
    <w:p w:rsidR="00850FB5" w:rsidRPr="00850FB5" w:rsidRDefault="00850FB5" w:rsidP="00850FB5">
      <w:pPr>
        <w:pStyle w:val="ListParagraph"/>
        <w:ind w:left="1440"/>
        <w:rPr>
          <w:i/>
        </w:rPr>
      </w:pPr>
    </w:p>
    <w:p w:rsidR="00D3672C" w:rsidRPr="00850FB5" w:rsidRDefault="00A66831" w:rsidP="00850FB5">
      <w:pPr>
        <w:pStyle w:val="ListParagraph"/>
        <w:ind w:left="0"/>
        <w:jc w:val="center"/>
        <w:rPr>
          <w:i/>
        </w:rPr>
      </w:pPr>
      <w:r>
        <w:rPr>
          <w:noProof/>
        </w:rPr>
        <w:drawing>
          <wp:inline distT="0" distB="0" distL="0" distR="0" wp14:anchorId="5DCFA3C1" wp14:editId="01CA1169">
            <wp:extent cx="5837426" cy="2019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37426" cy="2019475"/>
                    </a:xfrm>
                    <a:prstGeom prst="rect">
                      <a:avLst/>
                    </a:prstGeom>
                  </pic:spPr>
                </pic:pic>
              </a:graphicData>
            </a:graphic>
          </wp:inline>
        </w:drawing>
      </w:r>
    </w:p>
    <w:p w:rsidR="00D3672C" w:rsidRPr="006E10A4" w:rsidRDefault="00D3672C" w:rsidP="00D3672C">
      <w:pPr>
        <w:jc w:val="center"/>
        <w:rPr>
          <w:rFonts w:ascii="Trebuchet MS" w:hAnsi="Trebuchet MS"/>
          <w:b/>
        </w:rPr>
      </w:pPr>
      <w:r>
        <w:rPr>
          <w:rFonts w:ascii="Trebuchet MS" w:hAnsi="Trebuchet MS"/>
          <w:b/>
        </w:rPr>
        <w:t>Imag</w:t>
      </w:r>
      <w:r w:rsidR="00413E47">
        <w:rPr>
          <w:rFonts w:ascii="Trebuchet MS" w:hAnsi="Trebuchet MS"/>
          <w:b/>
        </w:rPr>
        <w:t xml:space="preserve">e 2 – </w:t>
      </w:r>
      <w:r w:rsidR="00850FB5">
        <w:rPr>
          <w:rFonts w:ascii="Trebuchet MS" w:hAnsi="Trebuchet MS"/>
          <w:b/>
        </w:rPr>
        <w:t>SHE</w:t>
      </w:r>
      <w:r>
        <w:rPr>
          <w:rFonts w:ascii="Trebuchet MS" w:hAnsi="Trebuchet MS"/>
          <w:b/>
        </w:rPr>
        <w:t>-CR-</w:t>
      </w:r>
      <w:r w:rsidR="00850FB5">
        <w:rPr>
          <w:rFonts w:ascii="Trebuchet MS" w:hAnsi="Trebuchet MS"/>
          <w:b/>
        </w:rPr>
        <w:t>26</w:t>
      </w:r>
    </w:p>
    <w:p w:rsidR="00F31B6F" w:rsidRDefault="00F31B6F" w:rsidP="001F04CD">
      <w:pPr>
        <w:spacing w:after="0" w:line="240" w:lineRule="auto"/>
        <w:jc w:val="center"/>
        <w:rPr>
          <w:rFonts w:ascii="Cambria" w:eastAsia="Times New Roman" w:hAnsi="Cambria"/>
          <w:b/>
          <w:bCs/>
          <w:color w:val="365F91"/>
          <w:sz w:val="28"/>
          <w:szCs w:val="28"/>
        </w:rPr>
      </w:pPr>
    </w:p>
    <w:p w:rsidR="00F31B6F" w:rsidRDefault="00850FB5" w:rsidP="001F04CD">
      <w:pPr>
        <w:spacing w:after="0" w:line="240" w:lineRule="auto"/>
        <w:jc w:val="center"/>
        <w:rPr>
          <w:rFonts w:ascii="Cambria" w:eastAsia="Times New Roman" w:hAnsi="Cambria"/>
          <w:b/>
          <w:bCs/>
          <w:color w:val="365F91"/>
          <w:sz w:val="28"/>
          <w:szCs w:val="28"/>
        </w:rPr>
      </w:pPr>
      <w:r>
        <w:rPr>
          <w:noProof/>
        </w:rPr>
        <w:lastRenderedPageBreak/>
        <w:drawing>
          <wp:inline distT="0" distB="0" distL="0" distR="0" wp14:anchorId="394A9D95" wp14:editId="0BD42168">
            <wp:extent cx="5943600" cy="4548505"/>
            <wp:effectExtent l="0" t="0" r="0" b="444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3672C" w:rsidRDefault="00D3672C" w:rsidP="001F04CD">
      <w:pPr>
        <w:spacing w:after="0" w:line="240" w:lineRule="auto"/>
        <w:jc w:val="center"/>
        <w:rPr>
          <w:rFonts w:ascii="Cambria" w:eastAsia="Times New Roman" w:hAnsi="Cambria"/>
          <w:b/>
          <w:bCs/>
          <w:color w:val="365F91"/>
          <w:sz w:val="28"/>
          <w:szCs w:val="28"/>
        </w:rPr>
      </w:pPr>
    </w:p>
    <w:p w:rsidR="001F04CD" w:rsidRDefault="001F04CD" w:rsidP="001F04CD">
      <w:pPr>
        <w:spacing w:after="0" w:line="240" w:lineRule="auto"/>
        <w:jc w:val="center"/>
        <w:rPr>
          <w:rFonts w:ascii="Trebuchet MS" w:hAnsi="Trebuchet MS"/>
          <w:b/>
        </w:rPr>
      </w:pPr>
    </w:p>
    <w:p w:rsidR="001F04CD" w:rsidRDefault="001F04CD" w:rsidP="001F04CD">
      <w:pPr>
        <w:spacing w:after="0" w:line="240" w:lineRule="auto"/>
        <w:jc w:val="center"/>
        <w:rPr>
          <w:rFonts w:ascii="Trebuchet MS" w:hAnsi="Trebuchet MS"/>
          <w:b/>
        </w:rPr>
      </w:pPr>
      <w:r w:rsidRPr="00C5593E">
        <w:rPr>
          <w:rFonts w:ascii="Trebuchet MS" w:hAnsi="Trebuchet MS"/>
          <w:b/>
        </w:rPr>
        <w:t xml:space="preserve">Chart </w:t>
      </w:r>
      <w:r w:rsidR="002545D0">
        <w:rPr>
          <w:rFonts w:ascii="Trebuchet MS" w:hAnsi="Trebuchet MS"/>
          <w:b/>
        </w:rPr>
        <w:t>4</w:t>
      </w:r>
      <w:r w:rsidRPr="00C5593E">
        <w:rPr>
          <w:rFonts w:ascii="Trebuchet MS" w:hAnsi="Trebuchet MS"/>
          <w:b/>
        </w:rPr>
        <w:t xml:space="preserve"> – </w:t>
      </w:r>
      <w:r w:rsidR="00850FB5">
        <w:rPr>
          <w:rFonts w:ascii="Trebuchet MS" w:hAnsi="Trebuchet MS"/>
          <w:b/>
        </w:rPr>
        <w:t xml:space="preserve">SHE-CR-26 </w:t>
      </w:r>
      <w:r w:rsidRPr="00C5593E">
        <w:rPr>
          <w:rFonts w:ascii="Trebuchet MS" w:hAnsi="Trebuchet MS"/>
          <w:b/>
        </w:rPr>
        <w:t>Frequency of Crashe</w:t>
      </w:r>
      <w:r>
        <w:rPr>
          <w:rFonts w:ascii="Trebuchet MS" w:hAnsi="Trebuchet MS"/>
          <w:b/>
        </w:rPr>
        <w:t>s</w:t>
      </w:r>
      <w:r w:rsidRPr="00C5593E">
        <w:rPr>
          <w:rFonts w:ascii="Trebuchet MS" w:hAnsi="Trebuchet MS"/>
          <w:b/>
        </w:rPr>
        <w:t xml:space="preserve"> by Year</w:t>
      </w:r>
    </w:p>
    <w:p w:rsidR="001F04CD" w:rsidRDefault="001F04CD">
      <w:pPr>
        <w:spacing w:after="0" w:line="240" w:lineRule="auto"/>
      </w:pPr>
    </w:p>
    <w:p w:rsidR="007B1E8A" w:rsidRDefault="00850FB5" w:rsidP="001F04CD">
      <w:pPr>
        <w:spacing w:after="0" w:line="240" w:lineRule="auto"/>
        <w:jc w:val="center"/>
        <w:rPr>
          <w:rFonts w:ascii="Cambria" w:eastAsia="Times New Roman" w:hAnsi="Cambria"/>
          <w:b/>
          <w:bCs/>
          <w:color w:val="365F91"/>
          <w:sz w:val="28"/>
          <w:szCs w:val="28"/>
        </w:rPr>
      </w:pPr>
      <w:r>
        <w:rPr>
          <w:noProof/>
        </w:rPr>
        <w:lastRenderedPageBreak/>
        <w:drawing>
          <wp:inline distT="0" distB="0" distL="0" distR="0" wp14:anchorId="2FA1A43B" wp14:editId="495A5EEE">
            <wp:extent cx="5943600" cy="4675505"/>
            <wp:effectExtent l="0" t="0" r="19050" b="1079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75ED4" w:rsidRDefault="00675ED4">
      <w:pPr>
        <w:spacing w:after="0" w:line="240" w:lineRule="auto"/>
        <w:rPr>
          <w:rFonts w:ascii="Cambria" w:eastAsia="Times New Roman" w:hAnsi="Cambria"/>
          <w:b/>
          <w:bCs/>
          <w:color w:val="365F91"/>
          <w:sz w:val="28"/>
          <w:szCs w:val="28"/>
        </w:rPr>
      </w:pPr>
    </w:p>
    <w:p w:rsidR="001F04CD" w:rsidRDefault="001F04CD" w:rsidP="001F04CD">
      <w:pPr>
        <w:jc w:val="center"/>
        <w:rPr>
          <w:rFonts w:ascii="Trebuchet MS" w:hAnsi="Trebuchet MS"/>
          <w:b/>
        </w:rPr>
      </w:pPr>
      <w:r w:rsidRPr="00C5593E">
        <w:rPr>
          <w:rFonts w:ascii="Trebuchet MS" w:hAnsi="Trebuchet MS"/>
          <w:b/>
        </w:rPr>
        <w:t xml:space="preserve">Chart </w:t>
      </w:r>
      <w:r w:rsidR="002545D0">
        <w:rPr>
          <w:rFonts w:ascii="Trebuchet MS" w:hAnsi="Trebuchet MS"/>
          <w:b/>
        </w:rPr>
        <w:t>5</w:t>
      </w:r>
      <w:r w:rsidRPr="00C5593E">
        <w:rPr>
          <w:rFonts w:ascii="Trebuchet MS" w:hAnsi="Trebuchet MS"/>
          <w:b/>
        </w:rPr>
        <w:t xml:space="preserve"> – </w:t>
      </w:r>
      <w:r w:rsidR="00850FB5">
        <w:rPr>
          <w:rFonts w:ascii="Trebuchet MS" w:hAnsi="Trebuchet MS"/>
          <w:b/>
        </w:rPr>
        <w:t xml:space="preserve">SHE-CR-26 </w:t>
      </w:r>
      <w:r w:rsidRPr="00C5593E">
        <w:rPr>
          <w:rFonts w:ascii="Trebuchet MS" w:hAnsi="Trebuchet MS"/>
          <w:b/>
        </w:rPr>
        <w:t>Frequency of Crashe</w:t>
      </w:r>
      <w:r>
        <w:rPr>
          <w:rFonts w:ascii="Trebuchet MS" w:hAnsi="Trebuchet MS"/>
          <w:b/>
        </w:rPr>
        <w:t>s</w:t>
      </w:r>
      <w:r w:rsidRPr="00C5593E">
        <w:rPr>
          <w:rFonts w:ascii="Trebuchet MS" w:hAnsi="Trebuchet MS"/>
          <w:b/>
        </w:rPr>
        <w:t xml:space="preserve"> by Year and Severity</w:t>
      </w:r>
    </w:p>
    <w:p w:rsidR="001F04CD" w:rsidRDefault="001F04CD">
      <w:pPr>
        <w:spacing w:after="0" w:line="240" w:lineRule="auto"/>
        <w:rPr>
          <w:rFonts w:ascii="Cambria" w:eastAsia="Times New Roman" w:hAnsi="Cambria"/>
          <w:b/>
          <w:bCs/>
          <w:color w:val="365F91"/>
          <w:sz w:val="28"/>
          <w:szCs w:val="28"/>
        </w:rPr>
      </w:pPr>
    </w:p>
    <w:p w:rsidR="00675ED4" w:rsidRDefault="00850FB5" w:rsidP="001F04CD">
      <w:pPr>
        <w:spacing w:after="0" w:line="240" w:lineRule="auto"/>
        <w:jc w:val="center"/>
        <w:rPr>
          <w:rFonts w:ascii="Cambria" w:eastAsia="Times New Roman" w:hAnsi="Cambria"/>
          <w:b/>
          <w:bCs/>
          <w:color w:val="365F91"/>
          <w:sz w:val="28"/>
          <w:szCs w:val="28"/>
        </w:rPr>
      </w:pPr>
      <w:r>
        <w:rPr>
          <w:noProof/>
        </w:rPr>
        <w:lastRenderedPageBreak/>
        <w:drawing>
          <wp:inline distT="0" distB="0" distL="0" distR="0" wp14:anchorId="032FCD4A" wp14:editId="39E0C37C">
            <wp:extent cx="5943600" cy="404050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F04CD" w:rsidRDefault="001F04CD" w:rsidP="001F04CD">
      <w:pPr>
        <w:spacing w:after="0" w:line="240" w:lineRule="auto"/>
        <w:jc w:val="center"/>
        <w:rPr>
          <w:rFonts w:ascii="Cambria" w:eastAsia="Times New Roman" w:hAnsi="Cambria"/>
          <w:b/>
          <w:bCs/>
          <w:color w:val="365F91"/>
          <w:sz w:val="28"/>
          <w:szCs w:val="28"/>
        </w:rPr>
      </w:pPr>
    </w:p>
    <w:p w:rsidR="001F04CD" w:rsidRDefault="001F04CD" w:rsidP="001F04CD">
      <w:pPr>
        <w:jc w:val="center"/>
        <w:rPr>
          <w:rFonts w:ascii="Trebuchet MS" w:hAnsi="Trebuchet MS"/>
          <w:b/>
        </w:rPr>
      </w:pPr>
      <w:r w:rsidRPr="00C5593E">
        <w:rPr>
          <w:rFonts w:ascii="Trebuchet MS" w:hAnsi="Trebuchet MS"/>
          <w:b/>
        </w:rPr>
        <w:t xml:space="preserve">Chart </w:t>
      </w:r>
      <w:r w:rsidR="002545D0">
        <w:rPr>
          <w:rFonts w:ascii="Trebuchet MS" w:hAnsi="Trebuchet MS"/>
          <w:b/>
        </w:rPr>
        <w:t>6</w:t>
      </w:r>
      <w:r w:rsidRPr="00C5593E">
        <w:rPr>
          <w:rFonts w:ascii="Trebuchet MS" w:hAnsi="Trebuchet MS"/>
          <w:b/>
        </w:rPr>
        <w:t xml:space="preserve"> – </w:t>
      </w:r>
      <w:r w:rsidR="00850FB5">
        <w:rPr>
          <w:rFonts w:ascii="Trebuchet MS" w:hAnsi="Trebuchet MS"/>
          <w:b/>
        </w:rPr>
        <w:t xml:space="preserve">SHE-CR-26 </w:t>
      </w:r>
      <w:r w:rsidRPr="00C5593E">
        <w:rPr>
          <w:rFonts w:ascii="Trebuchet MS" w:hAnsi="Trebuchet MS"/>
          <w:b/>
        </w:rPr>
        <w:t>Frequency of Crashe</w:t>
      </w:r>
      <w:r>
        <w:rPr>
          <w:rFonts w:ascii="Trebuchet MS" w:hAnsi="Trebuchet MS"/>
          <w:b/>
        </w:rPr>
        <w:t>s</w:t>
      </w:r>
      <w:r w:rsidRPr="00C5593E">
        <w:rPr>
          <w:rFonts w:ascii="Trebuchet MS" w:hAnsi="Trebuchet MS"/>
          <w:b/>
        </w:rPr>
        <w:t xml:space="preserve"> by </w:t>
      </w:r>
      <w:r>
        <w:rPr>
          <w:rFonts w:ascii="Trebuchet MS" w:hAnsi="Trebuchet MS"/>
          <w:b/>
        </w:rPr>
        <w:t>Hour</w:t>
      </w:r>
    </w:p>
    <w:p w:rsidR="00E52DE4" w:rsidRDefault="00E52DE4">
      <w:pPr>
        <w:spacing w:after="0" w:line="240" w:lineRule="auto"/>
        <w:rPr>
          <w:rFonts w:ascii="Trebuchet MS" w:hAnsi="Trebuchet MS"/>
          <w:b/>
        </w:rPr>
      </w:pPr>
      <w:r>
        <w:rPr>
          <w:rFonts w:ascii="Trebuchet MS" w:hAnsi="Trebuchet MS"/>
          <w:b/>
        </w:rPr>
        <w:br w:type="page"/>
      </w:r>
    </w:p>
    <w:p w:rsidR="00F60EA8" w:rsidRDefault="00E52DE4" w:rsidP="001F04CD">
      <w:pPr>
        <w:jc w:val="center"/>
        <w:rPr>
          <w:rFonts w:ascii="Trebuchet MS" w:hAnsi="Trebuchet MS"/>
          <w:b/>
        </w:rPr>
      </w:pPr>
      <w:r>
        <w:rPr>
          <w:noProof/>
        </w:rPr>
        <w:lastRenderedPageBreak/>
        <w:drawing>
          <wp:inline distT="0" distB="0" distL="0" distR="0" wp14:anchorId="7A23E8F6" wp14:editId="65D41677">
            <wp:extent cx="5943600" cy="3839210"/>
            <wp:effectExtent l="0" t="0" r="19050" b="279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52DE4" w:rsidRDefault="00E52DE4" w:rsidP="001F04CD">
      <w:pPr>
        <w:jc w:val="center"/>
        <w:rPr>
          <w:rFonts w:ascii="Trebuchet MS" w:hAnsi="Trebuchet MS"/>
          <w:b/>
        </w:rPr>
      </w:pPr>
      <w:r>
        <w:rPr>
          <w:noProof/>
        </w:rPr>
        <w:drawing>
          <wp:inline distT="0" distB="0" distL="0" distR="0" wp14:anchorId="69C0F91C" wp14:editId="73F205CE">
            <wp:extent cx="5943600" cy="3817620"/>
            <wp:effectExtent l="0" t="0" r="19050" b="114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F04CD" w:rsidRDefault="001F04CD" w:rsidP="001F04CD">
      <w:pPr>
        <w:spacing w:after="0" w:line="240" w:lineRule="auto"/>
        <w:jc w:val="center"/>
        <w:rPr>
          <w:rFonts w:ascii="Cambria" w:eastAsia="Times New Roman" w:hAnsi="Cambria"/>
          <w:b/>
          <w:bCs/>
          <w:color w:val="365F91"/>
          <w:sz w:val="28"/>
          <w:szCs w:val="28"/>
        </w:rPr>
      </w:pPr>
    </w:p>
    <w:p w:rsidR="007B1E8A" w:rsidRDefault="007B1E8A">
      <w:pPr>
        <w:spacing w:after="0" w:line="240" w:lineRule="auto"/>
      </w:pPr>
      <w:r>
        <w:br w:type="page"/>
      </w:r>
    </w:p>
    <w:p w:rsidR="007B1E8A" w:rsidRPr="002251D6" w:rsidRDefault="00210525" w:rsidP="007B1E8A">
      <w:pPr>
        <w:numPr>
          <w:ilvl w:val="0"/>
          <w:numId w:val="2"/>
        </w:numPr>
        <w:rPr>
          <w:rFonts w:ascii="Cambria" w:eastAsia="Times New Roman" w:hAnsi="Cambria"/>
          <w:color w:val="365F91"/>
          <w:sz w:val="28"/>
          <w:szCs w:val="28"/>
        </w:rPr>
      </w:pPr>
      <w:r>
        <w:lastRenderedPageBreak/>
        <w:t>Shelby</w:t>
      </w:r>
      <w:r w:rsidR="007B1E8A">
        <w:t xml:space="preserve"> County –</w:t>
      </w:r>
      <w:r w:rsidR="000E293D">
        <w:t xml:space="preserve">  </w:t>
      </w:r>
      <w:r>
        <w:t>SHE</w:t>
      </w:r>
      <w:r w:rsidR="000E293D">
        <w:t>-CR-</w:t>
      </w:r>
      <w:r>
        <w:t>25A</w:t>
      </w:r>
      <w:r w:rsidR="00EC2129">
        <w:t>:</w:t>
      </w:r>
      <w:r w:rsidR="000E293D">
        <w:t xml:space="preserve"> </w:t>
      </w:r>
      <w:r>
        <w:t>Sidney-</w:t>
      </w:r>
      <w:proofErr w:type="spellStart"/>
      <w:r>
        <w:t>Wapakonetta</w:t>
      </w:r>
      <w:proofErr w:type="spellEnd"/>
      <w:r>
        <w:t xml:space="preserve"> Road</w:t>
      </w:r>
      <w:r w:rsidR="005D0636">
        <w:t xml:space="preserve"> </w:t>
      </w:r>
    </w:p>
    <w:p w:rsidR="00210525" w:rsidRPr="00210525" w:rsidRDefault="007B1E8A" w:rsidP="00757E1F">
      <w:pPr>
        <w:pStyle w:val="ListParagraph"/>
        <w:numPr>
          <w:ilvl w:val="1"/>
          <w:numId w:val="2"/>
        </w:numPr>
        <w:rPr>
          <w:i/>
        </w:rPr>
      </w:pPr>
      <w:r w:rsidRPr="00C5593E">
        <w:t>Rated #</w:t>
      </w:r>
      <w:r w:rsidR="00210525">
        <w:t>18</w:t>
      </w:r>
      <w:r w:rsidRPr="00C5593E">
        <w:t xml:space="preserve"> </w:t>
      </w:r>
      <w:r w:rsidR="00210525">
        <w:t xml:space="preserve">on the 2006-2010 data analysis </w:t>
      </w:r>
      <w:r w:rsidR="00210525" w:rsidRPr="00C5593E">
        <w:t xml:space="preserve">in the State of Ohio under </w:t>
      </w:r>
      <w:r w:rsidR="00210525">
        <w:t>the formula</w:t>
      </w:r>
      <w:r w:rsidR="00210525">
        <w:rPr>
          <w:rStyle w:val="FootnoteReference"/>
        </w:rPr>
        <w:footnoteReference w:id="6"/>
      </w:r>
      <w:r w:rsidR="00210525">
        <w:t xml:space="preserve"> utilized by the ODOT Safety Program</w:t>
      </w:r>
      <w:r w:rsidR="00210525">
        <w:rPr>
          <w:noProof/>
        </w:rPr>
        <w:t xml:space="preserve"> </w:t>
      </w:r>
    </w:p>
    <w:p w:rsidR="00210525" w:rsidRDefault="00210525" w:rsidP="00210525">
      <w:pPr>
        <w:pStyle w:val="ListParagraph"/>
        <w:ind w:left="1440"/>
        <w:rPr>
          <w:i/>
        </w:rPr>
      </w:pPr>
    </w:p>
    <w:p w:rsidR="007B1E8A" w:rsidRPr="00210525" w:rsidRDefault="00210525" w:rsidP="00210525">
      <w:pPr>
        <w:pStyle w:val="ListParagraph"/>
        <w:ind w:left="0"/>
        <w:jc w:val="center"/>
        <w:rPr>
          <w:i/>
        </w:rPr>
      </w:pPr>
      <w:r>
        <w:rPr>
          <w:noProof/>
        </w:rPr>
        <w:drawing>
          <wp:inline distT="0" distB="0" distL="0" distR="0" wp14:anchorId="1C6E2F82" wp14:editId="4A214320">
            <wp:extent cx="4488569" cy="3993226"/>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88569" cy="3993226"/>
                    </a:xfrm>
                    <a:prstGeom prst="rect">
                      <a:avLst/>
                    </a:prstGeom>
                  </pic:spPr>
                </pic:pic>
              </a:graphicData>
            </a:graphic>
          </wp:inline>
        </w:drawing>
      </w:r>
    </w:p>
    <w:p w:rsidR="006B2423" w:rsidRDefault="006B2423" w:rsidP="006B2423">
      <w:pPr>
        <w:jc w:val="center"/>
        <w:rPr>
          <w:rFonts w:ascii="Trebuchet MS" w:hAnsi="Trebuchet MS"/>
          <w:b/>
        </w:rPr>
      </w:pPr>
      <w:r>
        <w:rPr>
          <w:rFonts w:ascii="Trebuchet MS" w:hAnsi="Trebuchet MS"/>
          <w:b/>
        </w:rPr>
        <w:t xml:space="preserve">Image 3 – </w:t>
      </w:r>
      <w:r w:rsidR="00210525">
        <w:rPr>
          <w:rFonts w:ascii="Trebuchet MS" w:hAnsi="Trebuchet MS"/>
          <w:b/>
        </w:rPr>
        <w:t>SHE-CR-25A</w:t>
      </w:r>
    </w:p>
    <w:p w:rsidR="001F04CD" w:rsidRDefault="00E57788" w:rsidP="006B2423">
      <w:pPr>
        <w:jc w:val="center"/>
      </w:pPr>
      <w:r>
        <w:rPr>
          <w:noProof/>
        </w:rPr>
        <w:lastRenderedPageBreak/>
        <w:drawing>
          <wp:inline distT="0" distB="0" distL="0" distR="0" wp14:anchorId="0AB4CFF1" wp14:editId="72C0923E">
            <wp:extent cx="5943600" cy="4548505"/>
            <wp:effectExtent l="0" t="0" r="0" b="44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B2423" w:rsidRDefault="006B2423" w:rsidP="006B2423">
      <w:pPr>
        <w:spacing w:after="0" w:line="240" w:lineRule="auto"/>
        <w:jc w:val="center"/>
        <w:rPr>
          <w:rFonts w:ascii="Trebuchet MS" w:hAnsi="Trebuchet MS"/>
          <w:b/>
        </w:rPr>
      </w:pPr>
      <w:r w:rsidRPr="00C5593E">
        <w:rPr>
          <w:rFonts w:ascii="Trebuchet MS" w:hAnsi="Trebuchet MS"/>
          <w:b/>
        </w:rPr>
        <w:t xml:space="preserve">Chart </w:t>
      </w:r>
      <w:r w:rsidR="002535C3">
        <w:rPr>
          <w:rFonts w:ascii="Trebuchet MS" w:hAnsi="Trebuchet MS"/>
          <w:b/>
        </w:rPr>
        <w:t>7</w:t>
      </w:r>
      <w:r w:rsidRPr="00C5593E">
        <w:rPr>
          <w:rFonts w:ascii="Trebuchet MS" w:hAnsi="Trebuchet MS"/>
          <w:b/>
        </w:rPr>
        <w:t xml:space="preserve"> – </w:t>
      </w:r>
      <w:r w:rsidR="00210525">
        <w:rPr>
          <w:rFonts w:ascii="Trebuchet MS" w:hAnsi="Trebuchet MS"/>
          <w:b/>
        </w:rPr>
        <w:t>SHE-CR-25A</w:t>
      </w:r>
      <w:r w:rsidR="00210525" w:rsidRPr="00C5593E">
        <w:rPr>
          <w:rFonts w:ascii="Trebuchet MS" w:hAnsi="Trebuchet MS"/>
          <w:b/>
        </w:rPr>
        <w:t xml:space="preserve"> </w:t>
      </w:r>
      <w:r w:rsidRPr="00C5593E">
        <w:rPr>
          <w:rFonts w:ascii="Trebuchet MS" w:hAnsi="Trebuchet MS"/>
          <w:b/>
        </w:rPr>
        <w:t>Frequency of Crashe</w:t>
      </w:r>
      <w:r>
        <w:rPr>
          <w:rFonts w:ascii="Trebuchet MS" w:hAnsi="Trebuchet MS"/>
          <w:b/>
        </w:rPr>
        <w:t>s</w:t>
      </w:r>
      <w:r w:rsidRPr="00C5593E">
        <w:rPr>
          <w:rFonts w:ascii="Trebuchet MS" w:hAnsi="Trebuchet MS"/>
          <w:b/>
        </w:rPr>
        <w:t xml:space="preserve"> by Year</w:t>
      </w:r>
    </w:p>
    <w:p w:rsidR="006B2423" w:rsidRDefault="006B2423" w:rsidP="006B2423"/>
    <w:p w:rsidR="006B2423" w:rsidRDefault="00757E1F" w:rsidP="006B2423">
      <w:pPr>
        <w:jc w:val="center"/>
      </w:pPr>
      <w:r>
        <w:rPr>
          <w:noProof/>
        </w:rPr>
        <w:lastRenderedPageBreak/>
        <w:drawing>
          <wp:inline distT="0" distB="0" distL="0" distR="0" wp14:anchorId="47C188C0" wp14:editId="275639E2">
            <wp:extent cx="5943600" cy="4675505"/>
            <wp:effectExtent l="0" t="0" r="19050" b="1079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B2423" w:rsidRDefault="006B2423" w:rsidP="006B2423">
      <w:pPr>
        <w:jc w:val="center"/>
        <w:rPr>
          <w:rFonts w:ascii="Trebuchet MS" w:hAnsi="Trebuchet MS"/>
          <w:b/>
        </w:rPr>
      </w:pPr>
      <w:r w:rsidRPr="00C5593E">
        <w:rPr>
          <w:rFonts w:ascii="Trebuchet MS" w:hAnsi="Trebuchet MS"/>
          <w:b/>
        </w:rPr>
        <w:t xml:space="preserve">Chart </w:t>
      </w:r>
      <w:r w:rsidR="002535C3">
        <w:rPr>
          <w:rFonts w:ascii="Trebuchet MS" w:hAnsi="Trebuchet MS"/>
          <w:b/>
        </w:rPr>
        <w:t>8</w:t>
      </w:r>
      <w:r w:rsidRPr="00C5593E">
        <w:rPr>
          <w:rFonts w:ascii="Trebuchet MS" w:hAnsi="Trebuchet MS"/>
          <w:b/>
        </w:rPr>
        <w:t xml:space="preserve"> – </w:t>
      </w:r>
      <w:r w:rsidR="00210525">
        <w:rPr>
          <w:rFonts w:ascii="Trebuchet MS" w:hAnsi="Trebuchet MS"/>
          <w:b/>
        </w:rPr>
        <w:t>SHE-CR-25A</w:t>
      </w:r>
      <w:r w:rsidR="00210525" w:rsidRPr="00C5593E">
        <w:rPr>
          <w:rFonts w:ascii="Trebuchet MS" w:hAnsi="Trebuchet MS"/>
          <w:b/>
        </w:rPr>
        <w:t xml:space="preserve"> </w:t>
      </w:r>
      <w:r w:rsidRPr="00C5593E">
        <w:rPr>
          <w:rFonts w:ascii="Trebuchet MS" w:hAnsi="Trebuchet MS"/>
          <w:b/>
        </w:rPr>
        <w:t>Frequency of Crashe</w:t>
      </w:r>
      <w:r>
        <w:rPr>
          <w:rFonts w:ascii="Trebuchet MS" w:hAnsi="Trebuchet MS"/>
          <w:b/>
        </w:rPr>
        <w:t>s</w:t>
      </w:r>
      <w:r w:rsidRPr="00C5593E">
        <w:rPr>
          <w:rFonts w:ascii="Trebuchet MS" w:hAnsi="Trebuchet MS"/>
          <w:b/>
        </w:rPr>
        <w:t xml:space="preserve"> by Year and Severity</w:t>
      </w:r>
    </w:p>
    <w:p w:rsidR="006B2423" w:rsidRDefault="006B2423" w:rsidP="006B2423"/>
    <w:p w:rsidR="006B2423" w:rsidRDefault="00757E1F" w:rsidP="006B2423">
      <w:pPr>
        <w:jc w:val="center"/>
      </w:pPr>
      <w:r>
        <w:rPr>
          <w:noProof/>
        </w:rPr>
        <w:lastRenderedPageBreak/>
        <w:drawing>
          <wp:inline distT="0" distB="0" distL="0" distR="0" wp14:anchorId="2C102772" wp14:editId="7FF93A2F">
            <wp:extent cx="5943600" cy="404050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B2423" w:rsidRDefault="006B2423" w:rsidP="006B2423">
      <w:pPr>
        <w:jc w:val="center"/>
        <w:rPr>
          <w:rFonts w:ascii="Trebuchet MS" w:hAnsi="Trebuchet MS"/>
          <w:b/>
        </w:rPr>
      </w:pPr>
      <w:r w:rsidRPr="00C5593E">
        <w:rPr>
          <w:rFonts w:ascii="Trebuchet MS" w:hAnsi="Trebuchet MS"/>
          <w:b/>
        </w:rPr>
        <w:t xml:space="preserve">Chart </w:t>
      </w:r>
      <w:r w:rsidR="002535C3">
        <w:rPr>
          <w:rFonts w:ascii="Trebuchet MS" w:hAnsi="Trebuchet MS"/>
          <w:b/>
        </w:rPr>
        <w:t>9</w:t>
      </w:r>
      <w:r w:rsidRPr="00C5593E">
        <w:rPr>
          <w:rFonts w:ascii="Trebuchet MS" w:hAnsi="Trebuchet MS"/>
          <w:b/>
        </w:rPr>
        <w:t xml:space="preserve"> – </w:t>
      </w:r>
      <w:r w:rsidR="00210525">
        <w:rPr>
          <w:rFonts w:ascii="Trebuchet MS" w:hAnsi="Trebuchet MS"/>
          <w:b/>
        </w:rPr>
        <w:t>SHE-CR-25A</w:t>
      </w:r>
      <w:r w:rsidR="00210525" w:rsidRPr="00C5593E">
        <w:rPr>
          <w:rFonts w:ascii="Trebuchet MS" w:hAnsi="Trebuchet MS"/>
          <w:b/>
        </w:rPr>
        <w:t xml:space="preserve"> </w:t>
      </w:r>
      <w:r w:rsidRPr="00C5593E">
        <w:rPr>
          <w:rFonts w:ascii="Trebuchet MS" w:hAnsi="Trebuchet MS"/>
          <w:b/>
        </w:rPr>
        <w:t>Frequency of Crashe</w:t>
      </w:r>
      <w:r>
        <w:rPr>
          <w:rFonts w:ascii="Trebuchet MS" w:hAnsi="Trebuchet MS"/>
          <w:b/>
        </w:rPr>
        <w:t>s</w:t>
      </w:r>
      <w:r w:rsidRPr="00C5593E">
        <w:rPr>
          <w:rFonts w:ascii="Trebuchet MS" w:hAnsi="Trebuchet MS"/>
          <w:b/>
        </w:rPr>
        <w:t xml:space="preserve"> by </w:t>
      </w:r>
      <w:r>
        <w:rPr>
          <w:rFonts w:ascii="Trebuchet MS" w:hAnsi="Trebuchet MS"/>
          <w:b/>
        </w:rPr>
        <w:t>Hour</w:t>
      </w:r>
    </w:p>
    <w:p w:rsidR="00F60EA8" w:rsidRDefault="00F60EA8" w:rsidP="006B2423">
      <w:pPr>
        <w:jc w:val="center"/>
        <w:rPr>
          <w:rFonts w:ascii="Trebuchet MS" w:hAnsi="Trebuchet MS"/>
          <w:b/>
        </w:rPr>
      </w:pPr>
    </w:p>
    <w:p w:rsidR="00B71714" w:rsidRDefault="00B71714" w:rsidP="006B2423">
      <w:pPr>
        <w:jc w:val="center"/>
        <w:rPr>
          <w:rFonts w:ascii="Trebuchet MS" w:hAnsi="Trebuchet MS"/>
          <w:b/>
        </w:rPr>
      </w:pPr>
    </w:p>
    <w:p w:rsidR="00B71714" w:rsidRDefault="00B71714" w:rsidP="006B2423">
      <w:pPr>
        <w:jc w:val="center"/>
        <w:rPr>
          <w:rFonts w:ascii="Trebuchet MS" w:hAnsi="Trebuchet MS"/>
          <w:b/>
        </w:rPr>
      </w:pPr>
    </w:p>
    <w:p w:rsidR="00E52DE4" w:rsidRDefault="00E52DE4">
      <w:pPr>
        <w:spacing w:after="0" w:line="240" w:lineRule="auto"/>
      </w:pPr>
      <w:r>
        <w:br w:type="page"/>
      </w:r>
    </w:p>
    <w:p w:rsidR="00E52DE4" w:rsidRDefault="00E52DE4" w:rsidP="00E52DE4">
      <w:pPr>
        <w:spacing w:after="0" w:line="240" w:lineRule="auto"/>
        <w:jc w:val="center"/>
      </w:pPr>
      <w:r>
        <w:rPr>
          <w:noProof/>
        </w:rPr>
        <w:lastRenderedPageBreak/>
        <w:drawing>
          <wp:inline distT="0" distB="0" distL="0" distR="0" wp14:anchorId="52D9C0A8" wp14:editId="44E5B208">
            <wp:extent cx="5943600" cy="3827145"/>
            <wp:effectExtent l="0" t="0" r="19050" b="2095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52DE4" w:rsidRDefault="00E52DE4" w:rsidP="00E52DE4">
      <w:pPr>
        <w:spacing w:after="0" w:line="240" w:lineRule="auto"/>
        <w:jc w:val="center"/>
      </w:pPr>
    </w:p>
    <w:p w:rsidR="00E52DE4" w:rsidRDefault="00E52DE4" w:rsidP="00E52DE4">
      <w:pPr>
        <w:spacing w:after="0" w:line="240" w:lineRule="auto"/>
        <w:jc w:val="center"/>
      </w:pPr>
      <w:r>
        <w:rPr>
          <w:noProof/>
        </w:rPr>
        <w:drawing>
          <wp:inline distT="0" distB="0" distL="0" distR="0" wp14:anchorId="3DB17C27" wp14:editId="20E6B1D8">
            <wp:extent cx="5943600" cy="3806190"/>
            <wp:effectExtent l="0" t="0" r="19050" b="2286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A400A" w:rsidRDefault="005A400A">
      <w:pPr>
        <w:spacing w:after="0" w:line="240" w:lineRule="auto"/>
      </w:pPr>
      <w:r>
        <w:br w:type="page"/>
      </w:r>
    </w:p>
    <w:p w:rsidR="001A0F2F" w:rsidRPr="002251D6" w:rsidRDefault="00757E1F" w:rsidP="001A0F2F">
      <w:pPr>
        <w:numPr>
          <w:ilvl w:val="0"/>
          <w:numId w:val="2"/>
        </w:numPr>
        <w:rPr>
          <w:rFonts w:ascii="Cambria" w:eastAsia="Times New Roman" w:hAnsi="Cambria"/>
          <w:color w:val="365F91"/>
          <w:sz w:val="28"/>
          <w:szCs w:val="28"/>
        </w:rPr>
      </w:pPr>
      <w:r>
        <w:lastRenderedPageBreak/>
        <w:t>Shelby</w:t>
      </w:r>
      <w:r w:rsidR="001A0F2F">
        <w:t xml:space="preserve"> County – </w:t>
      </w:r>
      <w:r>
        <w:t>SHE</w:t>
      </w:r>
      <w:r w:rsidR="00A16C26">
        <w:t>-CR-</w:t>
      </w:r>
      <w:r>
        <w:t>8</w:t>
      </w:r>
      <w:r w:rsidR="00EC2129">
        <w:t xml:space="preserve">:  </w:t>
      </w:r>
      <w:r>
        <w:t xml:space="preserve">Fair Road </w:t>
      </w:r>
    </w:p>
    <w:p w:rsidR="001A0F2F" w:rsidRPr="007A04E1" w:rsidRDefault="001A0F2F" w:rsidP="001A0F2F">
      <w:pPr>
        <w:pStyle w:val="ListParagraph"/>
        <w:numPr>
          <w:ilvl w:val="1"/>
          <w:numId w:val="2"/>
        </w:numPr>
        <w:rPr>
          <w:i/>
        </w:rPr>
      </w:pPr>
      <w:r w:rsidRPr="00C5593E">
        <w:t>Rated #</w:t>
      </w:r>
      <w:r w:rsidR="00757E1F">
        <w:t>72</w:t>
      </w:r>
      <w:r w:rsidR="001B3334">
        <w:t xml:space="preserve"> </w:t>
      </w:r>
      <w:r w:rsidR="00757E1F">
        <w:t xml:space="preserve">on the 2006-2010 data analysis </w:t>
      </w:r>
      <w:r w:rsidR="00757E1F" w:rsidRPr="00C5593E">
        <w:t xml:space="preserve">in the State of Ohio under </w:t>
      </w:r>
      <w:r w:rsidR="00757E1F">
        <w:t>the formula</w:t>
      </w:r>
      <w:r w:rsidR="00757E1F">
        <w:rPr>
          <w:rStyle w:val="FootnoteReference"/>
        </w:rPr>
        <w:footnoteReference w:id="7"/>
      </w:r>
      <w:r w:rsidR="00757E1F">
        <w:t xml:space="preserve"> utilized by the ODOT Safety Program</w:t>
      </w:r>
    </w:p>
    <w:p w:rsidR="007A04E1" w:rsidRDefault="00757E1F" w:rsidP="007A04E1">
      <w:pPr>
        <w:jc w:val="center"/>
        <w:rPr>
          <w:i/>
        </w:rPr>
      </w:pPr>
      <w:r>
        <w:rPr>
          <w:noProof/>
        </w:rPr>
        <w:drawing>
          <wp:inline distT="0" distB="0" distL="0" distR="0" wp14:anchorId="3BF32730" wp14:editId="19151AB6">
            <wp:extent cx="5631668" cy="3505504"/>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31668" cy="3505504"/>
                    </a:xfrm>
                    <a:prstGeom prst="rect">
                      <a:avLst/>
                    </a:prstGeom>
                  </pic:spPr>
                </pic:pic>
              </a:graphicData>
            </a:graphic>
          </wp:inline>
        </w:drawing>
      </w:r>
    </w:p>
    <w:p w:rsidR="007A04E1" w:rsidRDefault="007A04E1" w:rsidP="007A04E1">
      <w:pPr>
        <w:jc w:val="center"/>
        <w:rPr>
          <w:rFonts w:ascii="Trebuchet MS" w:hAnsi="Trebuchet MS"/>
          <w:b/>
        </w:rPr>
      </w:pPr>
      <w:r>
        <w:rPr>
          <w:rFonts w:ascii="Trebuchet MS" w:hAnsi="Trebuchet MS"/>
          <w:b/>
        </w:rPr>
        <w:t xml:space="preserve">Image 4 – </w:t>
      </w:r>
      <w:r w:rsidR="00757E1F">
        <w:rPr>
          <w:rFonts w:ascii="Trebuchet MS" w:hAnsi="Trebuchet MS"/>
          <w:b/>
        </w:rPr>
        <w:t>SHE</w:t>
      </w:r>
      <w:r w:rsidR="00DF2E90">
        <w:rPr>
          <w:rFonts w:ascii="Trebuchet MS" w:hAnsi="Trebuchet MS"/>
          <w:b/>
        </w:rPr>
        <w:t>-CR-</w:t>
      </w:r>
      <w:r w:rsidR="00757E1F">
        <w:rPr>
          <w:rFonts w:ascii="Trebuchet MS" w:hAnsi="Trebuchet MS"/>
          <w:b/>
        </w:rPr>
        <w:t>8</w:t>
      </w:r>
    </w:p>
    <w:p w:rsidR="007A04E1" w:rsidRPr="007A04E1" w:rsidRDefault="000C30F1" w:rsidP="007A04E1">
      <w:pPr>
        <w:jc w:val="center"/>
        <w:rPr>
          <w:i/>
        </w:rPr>
      </w:pPr>
      <w:r>
        <w:rPr>
          <w:noProof/>
        </w:rPr>
        <w:lastRenderedPageBreak/>
        <w:drawing>
          <wp:inline distT="0" distB="0" distL="0" distR="0" wp14:anchorId="37305D75" wp14:editId="05135F95">
            <wp:extent cx="5943600" cy="4548505"/>
            <wp:effectExtent l="0" t="0" r="0" b="444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94419" w:rsidRDefault="00D94419" w:rsidP="00D94419">
      <w:pPr>
        <w:spacing w:after="0" w:line="240" w:lineRule="auto"/>
        <w:jc w:val="center"/>
        <w:rPr>
          <w:rFonts w:ascii="Trebuchet MS" w:hAnsi="Trebuchet MS"/>
          <w:b/>
        </w:rPr>
      </w:pPr>
      <w:r w:rsidRPr="00C5593E">
        <w:rPr>
          <w:rFonts w:ascii="Trebuchet MS" w:hAnsi="Trebuchet MS"/>
          <w:b/>
        </w:rPr>
        <w:t xml:space="preserve">Chart </w:t>
      </w:r>
      <w:r>
        <w:rPr>
          <w:rFonts w:ascii="Trebuchet MS" w:hAnsi="Trebuchet MS"/>
          <w:b/>
        </w:rPr>
        <w:t>1</w:t>
      </w:r>
      <w:r w:rsidR="002535C3">
        <w:rPr>
          <w:rFonts w:ascii="Trebuchet MS" w:hAnsi="Trebuchet MS"/>
          <w:b/>
        </w:rPr>
        <w:t>0</w:t>
      </w:r>
      <w:r w:rsidRPr="00C5593E">
        <w:rPr>
          <w:rFonts w:ascii="Trebuchet MS" w:hAnsi="Trebuchet MS"/>
          <w:b/>
        </w:rPr>
        <w:t xml:space="preserve"> – </w:t>
      </w:r>
      <w:r w:rsidR="000C30F1">
        <w:rPr>
          <w:rFonts w:ascii="Trebuchet MS" w:hAnsi="Trebuchet MS"/>
          <w:b/>
        </w:rPr>
        <w:t>SHE</w:t>
      </w:r>
      <w:r w:rsidR="00DF2E90">
        <w:rPr>
          <w:rFonts w:ascii="Trebuchet MS" w:hAnsi="Trebuchet MS"/>
          <w:b/>
        </w:rPr>
        <w:t>-CR-</w:t>
      </w:r>
      <w:r w:rsidR="000C30F1">
        <w:rPr>
          <w:rFonts w:ascii="Trebuchet MS" w:hAnsi="Trebuchet MS"/>
          <w:b/>
        </w:rPr>
        <w:t>8</w:t>
      </w:r>
      <w:r w:rsidRPr="00C5593E">
        <w:rPr>
          <w:rFonts w:ascii="Trebuchet MS" w:hAnsi="Trebuchet MS"/>
          <w:b/>
        </w:rPr>
        <w:t xml:space="preserve"> Frequency of Crashe</w:t>
      </w:r>
      <w:r>
        <w:rPr>
          <w:rFonts w:ascii="Trebuchet MS" w:hAnsi="Trebuchet MS"/>
          <w:b/>
        </w:rPr>
        <w:t>s</w:t>
      </w:r>
      <w:r w:rsidRPr="00C5593E">
        <w:rPr>
          <w:rFonts w:ascii="Trebuchet MS" w:hAnsi="Trebuchet MS"/>
          <w:b/>
        </w:rPr>
        <w:t xml:space="preserve"> by Year</w:t>
      </w:r>
    </w:p>
    <w:p w:rsidR="00324E0A" w:rsidRDefault="00324E0A" w:rsidP="00D94419">
      <w:pPr>
        <w:spacing w:after="0" w:line="240" w:lineRule="auto"/>
        <w:jc w:val="center"/>
        <w:rPr>
          <w:rFonts w:ascii="Trebuchet MS" w:hAnsi="Trebuchet MS"/>
          <w:b/>
        </w:rPr>
      </w:pPr>
    </w:p>
    <w:p w:rsidR="00324E0A" w:rsidRDefault="000C30F1" w:rsidP="00D94419">
      <w:pPr>
        <w:spacing w:after="0" w:line="240" w:lineRule="auto"/>
        <w:jc w:val="center"/>
        <w:rPr>
          <w:rFonts w:ascii="Trebuchet MS" w:hAnsi="Trebuchet MS"/>
          <w:b/>
        </w:rPr>
      </w:pPr>
      <w:r>
        <w:rPr>
          <w:noProof/>
        </w:rPr>
        <w:lastRenderedPageBreak/>
        <w:drawing>
          <wp:inline distT="0" distB="0" distL="0" distR="0" wp14:anchorId="7E12ACC0" wp14:editId="4EAA5E01">
            <wp:extent cx="5943600" cy="4675505"/>
            <wp:effectExtent l="0" t="0" r="19050" b="1079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24E0A" w:rsidRDefault="00324E0A" w:rsidP="00D94419">
      <w:pPr>
        <w:spacing w:after="0" w:line="240" w:lineRule="auto"/>
        <w:jc w:val="center"/>
        <w:rPr>
          <w:rFonts w:ascii="Trebuchet MS" w:hAnsi="Trebuchet MS"/>
          <w:b/>
        </w:rPr>
      </w:pPr>
    </w:p>
    <w:p w:rsidR="00FB2464" w:rsidRDefault="00FB2464" w:rsidP="00FB2464">
      <w:pPr>
        <w:jc w:val="center"/>
        <w:rPr>
          <w:rFonts w:ascii="Trebuchet MS" w:hAnsi="Trebuchet MS"/>
          <w:b/>
        </w:rPr>
      </w:pPr>
      <w:r w:rsidRPr="00C5593E">
        <w:rPr>
          <w:rFonts w:ascii="Trebuchet MS" w:hAnsi="Trebuchet MS"/>
          <w:b/>
        </w:rPr>
        <w:t xml:space="preserve">Chart </w:t>
      </w:r>
      <w:r>
        <w:rPr>
          <w:rFonts w:ascii="Trebuchet MS" w:hAnsi="Trebuchet MS"/>
          <w:b/>
        </w:rPr>
        <w:t>1</w:t>
      </w:r>
      <w:r w:rsidR="002535C3">
        <w:rPr>
          <w:rFonts w:ascii="Trebuchet MS" w:hAnsi="Trebuchet MS"/>
          <w:b/>
        </w:rPr>
        <w:t>1</w:t>
      </w:r>
      <w:r w:rsidRPr="00C5593E">
        <w:rPr>
          <w:rFonts w:ascii="Trebuchet MS" w:hAnsi="Trebuchet MS"/>
          <w:b/>
        </w:rPr>
        <w:t xml:space="preserve">– </w:t>
      </w:r>
      <w:r w:rsidR="000C30F1">
        <w:rPr>
          <w:rFonts w:ascii="Trebuchet MS" w:hAnsi="Trebuchet MS"/>
          <w:b/>
        </w:rPr>
        <w:t>SHE</w:t>
      </w:r>
      <w:r w:rsidR="00DF2E90">
        <w:rPr>
          <w:rFonts w:ascii="Trebuchet MS" w:hAnsi="Trebuchet MS"/>
          <w:b/>
        </w:rPr>
        <w:t>-CR-</w:t>
      </w:r>
      <w:r w:rsidR="000C30F1">
        <w:rPr>
          <w:rFonts w:ascii="Trebuchet MS" w:hAnsi="Trebuchet MS"/>
          <w:b/>
        </w:rPr>
        <w:t>8</w:t>
      </w:r>
      <w:r w:rsidRPr="00C5593E">
        <w:rPr>
          <w:rFonts w:ascii="Trebuchet MS" w:hAnsi="Trebuchet MS"/>
          <w:b/>
        </w:rPr>
        <w:t xml:space="preserve"> Frequency of Crashe</w:t>
      </w:r>
      <w:r>
        <w:rPr>
          <w:rFonts w:ascii="Trebuchet MS" w:hAnsi="Trebuchet MS"/>
          <w:b/>
        </w:rPr>
        <w:t>s</w:t>
      </w:r>
      <w:r w:rsidRPr="00C5593E">
        <w:rPr>
          <w:rFonts w:ascii="Trebuchet MS" w:hAnsi="Trebuchet MS"/>
          <w:b/>
        </w:rPr>
        <w:t xml:space="preserve"> by Year and Severity</w:t>
      </w:r>
    </w:p>
    <w:p w:rsidR="00324E0A" w:rsidRDefault="00324E0A" w:rsidP="00D94419">
      <w:pPr>
        <w:spacing w:after="0" w:line="240" w:lineRule="auto"/>
        <w:jc w:val="center"/>
        <w:rPr>
          <w:rFonts w:ascii="Trebuchet MS" w:hAnsi="Trebuchet MS"/>
          <w:b/>
        </w:rPr>
      </w:pPr>
    </w:p>
    <w:p w:rsidR="00324E0A" w:rsidRDefault="00324E0A" w:rsidP="00D94419">
      <w:pPr>
        <w:spacing w:after="0" w:line="240" w:lineRule="auto"/>
        <w:jc w:val="center"/>
        <w:rPr>
          <w:rFonts w:ascii="Trebuchet MS" w:hAnsi="Trebuchet MS"/>
          <w:b/>
        </w:rPr>
      </w:pPr>
    </w:p>
    <w:p w:rsidR="006B2423" w:rsidRDefault="000C30F1" w:rsidP="006B2423">
      <w:pPr>
        <w:jc w:val="center"/>
      </w:pPr>
      <w:r>
        <w:rPr>
          <w:noProof/>
        </w:rPr>
        <w:lastRenderedPageBreak/>
        <w:drawing>
          <wp:inline distT="0" distB="0" distL="0" distR="0" wp14:anchorId="52BAC92E" wp14:editId="35014231">
            <wp:extent cx="5943600" cy="404050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B2464" w:rsidRDefault="00FB2464" w:rsidP="00FB2464">
      <w:pPr>
        <w:jc w:val="center"/>
        <w:rPr>
          <w:rFonts w:ascii="Trebuchet MS" w:hAnsi="Trebuchet MS"/>
          <w:b/>
        </w:rPr>
      </w:pPr>
      <w:r w:rsidRPr="00C5593E">
        <w:rPr>
          <w:rFonts w:ascii="Trebuchet MS" w:hAnsi="Trebuchet MS"/>
          <w:b/>
        </w:rPr>
        <w:t xml:space="preserve">Chart </w:t>
      </w:r>
      <w:r>
        <w:rPr>
          <w:rFonts w:ascii="Trebuchet MS" w:hAnsi="Trebuchet MS"/>
          <w:b/>
        </w:rPr>
        <w:t>1</w:t>
      </w:r>
      <w:r w:rsidR="002535C3">
        <w:rPr>
          <w:rFonts w:ascii="Trebuchet MS" w:hAnsi="Trebuchet MS"/>
          <w:b/>
        </w:rPr>
        <w:t>2</w:t>
      </w:r>
      <w:r w:rsidRPr="00C5593E">
        <w:rPr>
          <w:rFonts w:ascii="Trebuchet MS" w:hAnsi="Trebuchet MS"/>
          <w:b/>
        </w:rPr>
        <w:t xml:space="preserve"> – </w:t>
      </w:r>
      <w:r w:rsidR="000C30F1">
        <w:rPr>
          <w:rFonts w:ascii="Trebuchet MS" w:hAnsi="Trebuchet MS"/>
          <w:b/>
        </w:rPr>
        <w:t>SHE</w:t>
      </w:r>
      <w:r w:rsidR="00DF2E90">
        <w:rPr>
          <w:rFonts w:ascii="Trebuchet MS" w:hAnsi="Trebuchet MS"/>
          <w:b/>
        </w:rPr>
        <w:t>-CR-</w:t>
      </w:r>
      <w:r w:rsidR="000C30F1">
        <w:rPr>
          <w:rFonts w:ascii="Trebuchet MS" w:hAnsi="Trebuchet MS"/>
          <w:b/>
        </w:rPr>
        <w:t>8</w:t>
      </w:r>
      <w:r w:rsidR="00DF2E90">
        <w:rPr>
          <w:rFonts w:ascii="Trebuchet MS" w:hAnsi="Trebuchet MS"/>
          <w:b/>
        </w:rPr>
        <w:t xml:space="preserve"> </w:t>
      </w:r>
      <w:r w:rsidRPr="00C5593E">
        <w:rPr>
          <w:rFonts w:ascii="Trebuchet MS" w:hAnsi="Trebuchet MS"/>
          <w:b/>
        </w:rPr>
        <w:t>Frequency of Crashe</w:t>
      </w:r>
      <w:r>
        <w:rPr>
          <w:rFonts w:ascii="Trebuchet MS" w:hAnsi="Trebuchet MS"/>
          <w:b/>
        </w:rPr>
        <w:t>s</w:t>
      </w:r>
      <w:r w:rsidRPr="00C5593E">
        <w:rPr>
          <w:rFonts w:ascii="Trebuchet MS" w:hAnsi="Trebuchet MS"/>
          <w:b/>
        </w:rPr>
        <w:t xml:space="preserve"> by </w:t>
      </w:r>
      <w:r>
        <w:rPr>
          <w:rFonts w:ascii="Trebuchet MS" w:hAnsi="Trebuchet MS"/>
          <w:b/>
        </w:rPr>
        <w:t>Hour</w:t>
      </w:r>
    </w:p>
    <w:p w:rsidR="00071C15" w:rsidRDefault="00071C15" w:rsidP="00FB2464">
      <w:pPr>
        <w:jc w:val="center"/>
        <w:rPr>
          <w:rFonts w:ascii="Trebuchet MS" w:hAnsi="Trebuchet MS"/>
          <w:b/>
        </w:rPr>
      </w:pPr>
    </w:p>
    <w:p w:rsidR="00071C15" w:rsidRDefault="00071C15" w:rsidP="00FB2464">
      <w:pPr>
        <w:jc w:val="center"/>
        <w:rPr>
          <w:rFonts w:ascii="Trebuchet MS" w:hAnsi="Trebuchet MS"/>
          <w:b/>
        </w:rPr>
      </w:pPr>
    </w:p>
    <w:p w:rsidR="00E13C4C" w:rsidRDefault="00E13C4C" w:rsidP="00FB2464">
      <w:pPr>
        <w:jc w:val="center"/>
        <w:rPr>
          <w:rFonts w:ascii="Trebuchet MS" w:hAnsi="Trebuchet MS"/>
          <w:b/>
        </w:rPr>
      </w:pPr>
    </w:p>
    <w:p w:rsidR="00E52DE4" w:rsidRDefault="00E52DE4">
      <w:pPr>
        <w:spacing w:after="0" w:line="240" w:lineRule="auto"/>
      </w:pPr>
      <w:r>
        <w:br w:type="page"/>
      </w:r>
    </w:p>
    <w:p w:rsidR="00E52DE4" w:rsidRDefault="00E52DE4" w:rsidP="00E52DE4">
      <w:pPr>
        <w:spacing w:after="0" w:line="240" w:lineRule="auto"/>
        <w:jc w:val="center"/>
      </w:pPr>
      <w:r>
        <w:rPr>
          <w:noProof/>
        </w:rPr>
        <w:lastRenderedPageBreak/>
        <w:drawing>
          <wp:inline distT="0" distB="0" distL="0" distR="0" wp14:anchorId="7354C8B1" wp14:editId="735F7F48">
            <wp:extent cx="5943600" cy="3812540"/>
            <wp:effectExtent l="0" t="0" r="19050" b="1651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52DE4" w:rsidRDefault="00E52DE4" w:rsidP="00E52DE4">
      <w:pPr>
        <w:spacing w:after="0" w:line="240" w:lineRule="auto"/>
        <w:jc w:val="center"/>
      </w:pPr>
    </w:p>
    <w:p w:rsidR="00E52DE4" w:rsidRDefault="00E52DE4" w:rsidP="00E52DE4">
      <w:pPr>
        <w:spacing w:after="0" w:line="240" w:lineRule="auto"/>
        <w:jc w:val="center"/>
      </w:pPr>
      <w:r>
        <w:rPr>
          <w:noProof/>
        </w:rPr>
        <w:drawing>
          <wp:inline distT="0" distB="0" distL="0" distR="0" wp14:anchorId="12F7B08F" wp14:editId="00C2358D">
            <wp:extent cx="5943600" cy="3790950"/>
            <wp:effectExtent l="0" t="0" r="1905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73E4F" w:rsidRDefault="00473E4F" w:rsidP="00E52DE4">
      <w:pPr>
        <w:spacing w:after="0" w:line="240" w:lineRule="auto"/>
        <w:jc w:val="center"/>
      </w:pPr>
      <w:r>
        <w:br w:type="page"/>
      </w:r>
    </w:p>
    <w:p w:rsidR="00473E4F" w:rsidRPr="002251D6" w:rsidRDefault="000C30F1" w:rsidP="00473E4F">
      <w:pPr>
        <w:numPr>
          <w:ilvl w:val="0"/>
          <w:numId w:val="2"/>
        </w:numPr>
        <w:rPr>
          <w:rFonts w:ascii="Cambria" w:eastAsia="Times New Roman" w:hAnsi="Cambria"/>
          <w:color w:val="365F91"/>
          <w:sz w:val="28"/>
          <w:szCs w:val="28"/>
        </w:rPr>
      </w:pPr>
      <w:r>
        <w:lastRenderedPageBreak/>
        <w:t>Shelby</w:t>
      </w:r>
      <w:r w:rsidR="00473E4F">
        <w:t xml:space="preserve"> County – </w:t>
      </w:r>
      <w:r>
        <w:t>SHE</w:t>
      </w:r>
      <w:r w:rsidR="00DF2E90">
        <w:t>-CR-</w:t>
      </w:r>
      <w:r>
        <w:t>22</w:t>
      </w:r>
      <w:r w:rsidR="00EC2129">
        <w:t>:</w:t>
      </w:r>
      <w:r w:rsidR="00DF2E90">
        <w:t xml:space="preserve">   </w:t>
      </w:r>
      <w:proofErr w:type="spellStart"/>
      <w:r>
        <w:t>Botkins</w:t>
      </w:r>
      <w:proofErr w:type="spellEnd"/>
      <w:r>
        <w:t xml:space="preserve"> Road</w:t>
      </w:r>
    </w:p>
    <w:p w:rsidR="00473E4F" w:rsidRPr="007B1E8A" w:rsidRDefault="00473E4F" w:rsidP="00473E4F">
      <w:pPr>
        <w:pStyle w:val="ListParagraph"/>
        <w:numPr>
          <w:ilvl w:val="1"/>
          <w:numId w:val="2"/>
        </w:numPr>
        <w:rPr>
          <w:i/>
        </w:rPr>
      </w:pPr>
      <w:r w:rsidRPr="00C5593E">
        <w:t>Rated #</w:t>
      </w:r>
      <w:r w:rsidR="000C30F1">
        <w:t>8</w:t>
      </w:r>
      <w:r w:rsidR="00DF2E90">
        <w:t>1</w:t>
      </w:r>
      <w:r w:rsidRPr="00C5593E">
        <w:t xml:space="preserve"> </w:t>
      </w:r>
      <w:r w:rsidR="000C30F1">
        <w:t xml:space="preserve">on the 2006-2010 data analysis </w:t>
      </w:r>
      <w:r w:rsidR="000C30F1" w:rsidRPr="00C5593E">
        <w:t xml:space="preserve">in the State of Ohio under </w:t>
      </w:r>
      <w:r w:rsidR="000C30F1">
        <w:t>the formula</w:t>
      </w:r>
      <w:r w:rsidR="000C30F1">
        <w:rPr>
          <w:rStyle w:val="FootnoteReference"/>
        </w:rPr>
        <w:footnoteReference w:id="8"/>
      </w:r>
      <w:r w:rsidR="000C30F1">
        <w:t xml:space="preserve"> utilized by the ODOT Safety Program</w:t>
      </w:r>
    </w:p>
    <w:p w:rsidR="00FB2464" w:rsidRDefault="000C30F1" w:rsidP="006B2423">
      <w:pPr>
        <w:jc w:val="center"/>
      </w:pPr>
      <w:r>
        <w:rPr>
          <w:noProof/>
        </w:rPr>
        <w:drawing>
          <wp:inline distT="0" distB="0" distL="0" distR="0" wp14:anchorId="36842C48" wp14:editId="07A38D1E">
            <wp:extent cx="5464014" cy="253768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64014" cy="2537680"/>
                    </a:xfrm>
                    <a:prstGeom prst="rect">
                      <a:avLst/>
                    </a:prstGeom>
                  </pic:spPr>
                </pic:pic>
              </a:graphicData>
            </a:graphic>
          </wp:inline>
        </w:drawing>
      </w:r>
    </w:p>
    <w:p w:rsidR="00473E4F" w:rsidRDefault="00473E4F" w:rsidP="00473E4F">
      <w:pPr>
        <w:jc w:val="center"/>
        <w:rPr>
          <w:rFonts w:ascii="Trebuchet MS" w:hAnsi="Trebuchet MS"/>
          <w:b/>
        </w:rPr>
      </w:pPr>
      <w:r>
        <w:rPr>
          <w:rFonts w:ascii="Trebuchet MS" w:hAnsi="Trebuchet MS"/>
          <w:b/>
        </w:rPr>
        <w:t xml:space="preserve">Image 5 – </w:t>
      </w:r>
      <w:r w:rsidR="000C30F1">
        <w:rPr>
          <w:rFonts w:ascii="Trebuchet MS" w:hAnsi="Trebuchet MS"/>
          <w:b/>
        </w:rPr>
        <w:t>SHE</w:t>
      </w:r>
      <w:r w:rsidR="00EC1715">
        <w:rPr>
          <w:rFonts w:ascii="Trebuchet MS" w:hAnsi="Trebuchet MS"/>
          <w:b/>
        </w:rPr>
        <w:t>-CR-</w:t>
      </w:r>
      <w:r w:rsidR="000C30F1">
        <w:rPr>
          <w:rFonts w:ascii="Trebuchet MS" w:hAnsi="Trebuchet MS"/>
          <w:b/>
        </w:rPr>
        <w:t>22</w:t>
      </w:r>
    </w:p>
    <w:p w:rsidR="00632C54" w:rsidRDefault="007D6128" w:rsidP="00473E4F">
      <w:pPr>
        <w:jc w:val="center"/>
        <w:rPr>
          <w:rFonts w:ascii="Trebuchet MS" w:hAnsi="Trebuchet MS"/>
          <w:b/>
        </w:rPr>
      </w:pPr>
      <w:r>
        <w:rPr>
          <w:noProof/>
        </w:rPr>
        <w:lastRenderedPageBreak/>
        <w:drawing>
          <wp:inline distT="0" distB="0" distL="0" distR="0" wp14:anchorId="51611AE3" wp14:editId="5D39A6B9">
            <wp:extent cx="5943600" cy="4548505"/>
            <wp:effectExtent l="0" t="0" r="0" b="44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32C54" w:rsidRDefault="00632C54" w:rsidP="00632C54">
      <w:pPr>
        <w:spacing w:after="0" w:line="240" w:lineRule="auto"/>
        <w:jc w:val="center"/>
        <w:rPr>
          <w:rFonts w:ascii="Trebuchet MS" w:hAnsi="Trebuchet MS"/>
          <w:b/>
        </w:rPr>
      </w:pPr>
      <w:r w:rsidRPr="00C5593E">
        <w:rPr>
          <w:rFonts w:ascii="Trebuchet MS" w:hAnsi="Trebuchet MS"/>
          <w:b/>
        </w:rPr>
        <w:t xml:space="preserve">Chart </w:t>
      </w:r>
      <w:r>
        <w:rPr>
          <w:rFonts w:ascii="Trebuchet MS" w:hAnsi="Trebuchet MS"/>
          <w:b/>
        </w:rPr>
        <w:t>1</w:t>
      </w:r>
      <w:r w:rsidR="002535C3">
        <w:rPr>
          <w:rFonts w:ascii="Trebuchet MS" w:hAnsi="Trebuchet MS"/>
          <w:b/>
        </w:rPr>
        <w:t>3</w:t>
      </w:r>
      <w:r w:rsidRPr="00C5593E">
        <w:rPr>
          <w:rFonts w:ascii="Trebuchet MS" w:hAnsi="Trebuchet MS"/>
          <w:b/>
        </w:rPr>
        <w:t xml:space="preserve"> – </w:t>
      </w:r>
      <w:r w:rsidR="00A312D3">
        <w:rPr>
          <w:rFonts w:ascii="Trebuchet MS" w:hAnsi="Trebuchet MS"/>
          <w:b/>
        </w:rPr>
        <w:t xml:space="preserve">SHE-CR-22 </w:t>
      </w:r>
      <w:r w:rsidRPr="00C5593E">
        <w:rPr>
          <w:rFonts w:ascii="Trebuchet MS" w:hAnsi="Trebuchet MS"/>
          <w:b/>
        </w:rPr>
        <w:t>Frequency of Crashe</w:t>
      </w:r>
      <w:r>
        <w:rPr>
          <w:rFonts w:ascii="Trebuchet MS" w:hAnsi="Trebuchet MS"/>
          <w:b/>
        </w:rPr>
        <w:t>s</w:t>
      </w:r>
      <w:r w:rsidRPr="00C5593E">
        <w:rPr>
          <w:rFonts w:ascii="Trebuchet MS" w:hAnsi="Trebuchet MS"/>
          <w:b/>
        </w:rPr>
        <w:t xml:space="preserve"> by Year</w:t>
      </w:r>
    </w:p>
    <w:p w:rsidR="00632C54" w:rsidRDefault="00632C54" w:rsidP="00473E4F">
      <w:pPr>
        <w:jc w:val="center"/>
        <w:rPr>
          <w:rFonts w:ascii="Trebuchet MS" w:hAnsi="Trebuchet MS"/>
          <w:b/>
        </w:rPr>
      </w:pPr>
    </w:p>
    <w:p w:rsidR="00632C54" w:rsidRDefault="007D6128" w:rsidP="00473E4F">
      <w:pPr>
        <w:jc w:val="center"/>
        <w:rPr>
          <w:rFonts w:ascii="Trebuchet MS" w:hAnsi="Trebuchet MS"/>
          <w:b/>
        </w:rPr>
      </w:pPr>
      <w:r>
        <w:rPr>
          <w:noProof/>
        </w:rPr>
        <w:lastRenderedPageBreak/>
        <w:drawing>
          <wp:inline distT="0" distB="0" distL="0" distR="0" wp14:anchorId="4D12C582" wp14:editId="2124510C">
            <wp:extent cx="5943600" cy="4675505"/>
            <wp:effectExtent l="0" t="0" r="19050" b="1079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85372" w:rsidRDefault="00C85372" w:rsidP="00C85372">
      <w:pPr>
        <w:jc w:val="center"/>
        <w:rPr>
          <w:rFonts w:ascii="Trebuchet MS" w:hAnsi="Trebuchet MS"/>
          <w:b/>
        </w:rPr>
      </w:pPr>
      <w:r w:rsidRPr="00C5593E">
        <w:rPr>
          <w:rFonts w:ascii="Trebuchet MS" w:hAnsi="Trebuchet MS"/>
          <w:b/>
        </w:rPr>
        <w:t xml:space="preserve">Chart </w:t>
      </w:r>
      <w:r>
        <w:rPr>
          <w:rFonts w:ascii="Trebuchet MS" w:hAnsi="Trebuchet MS"/>
          <w:b/>
        </w:rPr>
        <w:t>1</w:t>
      </w:r>
      <w:r w:rsidR="002535C3">
        <w:rPr>
          <w:rFonts w:ascii="Trebuchet MS" w:hAnsi="Trebuchet MS"/>
          <w:b/>
        </w:rPr>
        <w:t>4</w:t>
      </w:r>
      <w:r w:rsidRPr="00C5593E">
        <w:rPr>
          <w:rFonts w:ascii="Trebuchet MS" w:hAnsi="Trebuchet MS"/>
          <w:b/>
        </w:rPr>
        <w:t xml:space="preserve">– </w:t>
      </w:r>
      <w:r w:rsidR="00A312D3">
        <w:rPr>
          <w:rFonts w:ascii="Trebuchet MS" w:hAnsi="Trebuchet MS"/>
          <w:b/>
        </w:rPr>
        <w:t xml:space="preserve">SHE-CR-22 </w:t>
      </w:r>
      <w:r w:rsidRPr="00C5593E">
        <w:rPr>
          <w:rFonts w:ascii="Trebuchet MS" w:hAnsi="Trebuchet MS"/>
          <w:b/>
        </w:rPr>
        <w:t>Frequency of Crashe</w:t>
      </w:r>
      <w:r>
        <w:rPr>
          <w:rFonts w:ascii="Trebuchet MS" w:hAnsi="Trebuchet MS"/>
          <w:b/>
        </w:rPr>
        <w:t>s</w:t>
      </w:r>
      <w:r w:rsidRPr="00C5593E">
        <w:rPr>
          <w:rFonts w:ascii="Trebuchet MS" w:hAnsi="Trebuchet MS"/>
          <w:b/>
        </w:rPr>
        <w:t xml:space="preserve"> by Year and Severity</w:t>
      </w:r>
    </w:p>
    <w:p w:rsidR="00632C54" w:rsidRDefault="007D6128" w:rsidP="00473E4F">
      <w:pPr>
        <w:jc w:val="center"/>
        <w:rPr>
          <w:rFonts w:ascii="Trebuchet MS" w:hAnsi="Trebuchet MS"/>
          <w:b/>
        </w:rPr>
      </w:pPr>
      <w:r>
        <w:rPr>
          <w:noProof/>
        </w:rPr>
        <w:lastRenderedPageBreak/>
        <w:drawing>
          <wp:inline distT="0" distB="0" distL="0" distR="0" wp14:anchorId="620B7C11" wp14:editId="37111ECF">
            <wp:extent cx="5943600" cy="4040505"/>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32C54" w:rsidRDefault="00632C54" w:rsidP="00473E4F">
      <w:pPr>
        <w:jc w:val="center"/>
        <w:rPr>
          <w:rFonts w:ascii="Trebuchet MS" w:hAnsi="Trebuchet MS"/>
          <w:b/>
        </w:rPr>
      </w:pPr>
    </w:p>
    <w:p w:rsidR="00C85372" w:rsidRDefault="00C85372" w:rsidP="00C85372">
      <w:pPr>
        <w:jc w:val="center"/>
        <w:rPr>
          <w:rFonts w:ascii="Trebuchet MS" w:hAnsi="Trebuchet MS"/>
          <w:b/>
        </w:rPr>
      </w:pPr>
      <w:r w:rsidRPr="00C5593E">
        <w:rPr>
          <w:rFonts w:ascii="Trebuchet MS" w:hAnsi="Trebuchet MS"/>
          <w:b/>
        </w:rPr>
        <w:t xml:space="preserve">Chart </w:t>
      </w:r>
      <w:r>
        <w:rPr>
          <w:rFonts w:ascii="Trebuchet MS" w:hAnsi="Trebuchet MS"/>
          <w:b/>
        </w:rPr>
        <w:t>1</w:t>
      </w:r>
      <w:r w:rsidR="002535C3">
        <w:rPr>
          <w:rFonts w:ascii="Trebuchet MS" w:hAnsi="Trebuchet MS"/>
          <w:b/>
        </w:rPr>
        <w:t>5</w:t>
      </w:r>
      <w:r w:rsidRPr="00C5593E">
        <w:rPr>
          <w:rFonts w:ascii="Trebuchet MS" w:hAnsi="Trebuchet MS"/>
          <w:b/>
        </w:rPr>
        <w:t xml:space="preserve"> – </w:t>
      </w:r>
      <w:r w:rsidR="00A312D3">
        <w:rPr>
          <w:rFonts w:ascii="Trebuchet MS" w:hAnsi="Trebuchet MS"/>
          <w:b/>
        </w:rPr>
        <w:t xml:space="preserve">SHE-CR-22 </w:t>
      </w:r>
      <w:r w:rsidRPr="00C5593E">
        <w:rPr>
          <w:rFonts w:ascii="Trebuchet MS" w:hAnsi="Trebuchet MS"/>
          <w:b/>
        </w:rPr>
        <w:t>Frequency of Crashe</w:t>
      </w:r>
      <w:r>
        <w:rPr>
          <w:rFonts w:ascii="Trebuchet MS" w:hAnsi="Trebuchet MS"/>
          <w:b/>
        </w:rPr>
        <w:t>s</w:t>
      </w:r>
      <w:r w:rsidRPr="00C5593E">
        <w:rPr>
          <w:rFonts w:ascii="Trebuchet MS" w:hAnsi="Trebuchet MS"/>
          <w:b/>
        </w:rPr>
        <w:t xml:space="preserve"> by </w:t>
      </w:r>
      <w:r>
        <w:rPr>
          <w:rFonts w:ascii="Trebuchet MS" w:hAnsi="Trebuchet MS"/>
          <w:b/>
        </w:rPr>
        <w:t>Hour</w:t>
      </w:r>
    </w:p>
    <w:p w:rsidR="00E52DE4" w:rsidRDefault="00E52DE4">
      <w:pPr>
        <w:spacing w:after="0" w:line="240" w:lineRule="auto"/>
        <w:rPr>
          <w:rFonts w:ascii="Trebuchet MS" w:hAnsi="Trebuchet MS"/>
          <w:b/>
        </w:rPr>
      </w:pPr>
      <w:r>
        <w:rPr>
          <w:rFonts w:ascii="Trebuchet MS" w:hAnsi="Trebuchet MS"/>
          <w:b/>
        </w:rPr>
        <w:br w:type="page"/>
      </w:r>
    </w:p>
    <w:p w:rsidR="002545D0" w:rsidRDefault="00E52DE4" w:rsidP="00C85372">
      <w:pPr>
        <w:jc w:val="center"/>
        <w:rPr>
          <w:rFonts w:ascii="Trebuchet MS" w:hAnsi="Trebuchet MS"/>
          <w:b/>
        </w:rPr>
      </w:pPr>
      <w:r>
        <w:rPr>
          <w:noProof/>
        </w:rPr>
        <w:lastRenderedPageBreak/>
        <w:drawing>
          <wp:inline distT="0" distB="0" distL="0" distR="0" wp14:anchorId="7783DDC1" wp14:editId="5CA321FF">
            <wp:extent cx="5943600" cy="3835400"/>
            <wp:effectExtent l="0" t="0" r="19050" b="127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52DE4" w:rsidRDefault="00E52DE4" w:rsidP="00C85372">
      <w:pPr>
        <w:jc w:val="center"/>
        <w:rPr>
          <w:rFonts w:ascii="Trebuchet MS" w:hAnsi="Trebuchet MS"/>
          <w:b/>
        </w:rPr>
      </w:pPr>
    </w:p>
    <w:p w:rsidR="00E52DE4" w:rsidRDefault="00E52DE4" w:rsidP="00C85372">
      <w:pPr>
        <w:jc w:val="center"/>
        <w:rPr>
          <w:rFonts w:ascii="Trebuchet MS" w:hAnsi="Trebuchet MS"/>
          <w:b/>
        </w:rPr>
      </w:pPr>
      <w:r>
        <w:rPr>
          <w:noProof/>
        </w:rPr>
        <w:drawing>
          <wp:inline distT="0" distB="0" distL="0" distR="0" wp14:anchorId="60FEEF94" wp14:editId="1748FB6B">
            <wp:extent cx="5943600" cy="3813810"/>
            <wp:effectExtent l="0" t="0" r="19050" b="1524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73E4F" w:rsidRPr="006B2423" w:rsidRDefault="00473E4F" w:rsidP="006B2423">
      <w:pPr>
        <w:jc w:val="center"/>
      </w:pPr>
    </w:p>
    <w:p w:rsidR="003A3F81" w:rsidRPr="003A3F81" w:rsidRDefault="003A3F81" w:rsidP="003A3F81">
      <w:pPr>
        <w:pStyle w:val="Heading1"/>
        <w:ind w:left="720"/>
        <w:jc w:val="center"/>
      </w:pPr>
      <w:bookmarkStart w:id="18" w:name="_Toc327366910"/>
      <w:r w:rsidRPr="003A3F81">
        <w:lastRenderedPageBreak/>
        <w:t xml:space="preserve">Team Charter –Rural Road Safety Audits Assistance (RRSAA) Program Partnership between the </w:t>
      </w:r>
      <w:r w:rsidR="007B498A">
        <w:t>Shelby</w:t>
      </w:r>
      <w:r w:rsidRPr="003A3F81">
        <w:t xml:space="preserve"> County Engineer’s Office (</w:t>
      </w:r>
      <w:r w:rsidR="007B498A">
        <w:t>S</w:t>
      </w:r>
      <w:r w:rsidR="002575B5">
        <w:t>CEO</w:t>
      </w:r>
      <w:r w:rsidRPr="003A3F81">
        <w:t>) and the Ohio LTAP Center</w:t>
      </w:r>
      <w:bookmarkEnd w:id="18"/>
    </w:p>
    <w:p w:rsidR="003A3F81" w:rsidRDefault="003A3F81" w:rsidP="003A3F81"/>
    <w:tbl>
      <w:tblPr>
        <w:tblStyle w:val="TableGrid"/>
        <w:tblW w:w="9360" w:type="dxa"/>
        <w:tblInd w:w="828" w:type="dxa"/>
        <w:tblLook w:val="01E0" w:firstRow="1" w:lastRow="1" w:firstColumn="1" w:lastColumn="1" w:noHBand="0" w:noVBand="0"/>
      </w:tblPr>
      <w:tblGrid>
        <w:gridCol w:w="1364"/>
        <w:gridCol w:w="977"/>
        <w:gridCol w:w="423"/>
        <w:gridCol w:w="468"/>
        <w:gridCol w:w="1025"/>
        <w:gridCol w:w="2207"/>
        <w:gridCol w:w="756"/>
        <w:gridCol w:w="2140"/>
      </w:tblGrid>
      <w:tr w:rsidR="003A3F81" w:rsidTr="003A3F81">
        <w:tc>
          <w:tcPr>
            <w:tcW w:w="7220" w:type="dxa"/>
            <w:gridSpan w:val="7"/>
          </w:tcPr>
          <w:p w:rsidR="003A3F81" w:rsidRPr="00BF5E55" w:rsidRDefault="003A3F81" w:rsidP="00EC2FF6">
            <w:pPr>
              <w:rPr>
                <w:b/>
                <w:sz w:val="28"/>
                <w:szCs w:val="28"/>
              </w:rPr>
            </w:pPr>
            <w:r w:rsidRPr="00BF5E55">
              <w:rPr>
                <w:b/>
                <w:sz w:val="28"/>
                <w:szCs w:val="28"/>
              </w:rPr>
              <w:t>Mission Statement:</w:t>
            </w:r>
          </w:p>
          <w:p w:rsidR="003A3F81" w:rsidRDefault="003A3F81" w:rsidP="007D6128">
            <w:r>
              <w:t xml:space="preserve">To collect and compile the information on the five qualifying rural corridors for the </w:t>
            </w:r>
            <w:r w:rsidR="007D6128">
              <w:t>SCEO</w:t>
            </w:r>
            <w:r>
              <w:t xml:space="preserve"> to apply for High Risk Rural Roads funding for implement low-cost safety improvements.</w:t>
            </w:r>
          </w:p>
        </w:tc>
        <w:tc>
          <w:tcPr>
            <w:tcW w:w="2140" w:type="dxa"/>
            <w:vAlign w:val="center"/>
          </w:tcPr>
          <w:p w:rsidR="003A3F81" w:rsidRDefault="003A3F81" w:rsidP="00EC2FF6">
            <w:pPr>
              <w:jc w:val="center"/>
              <w:rPr>
                <w:b/>
                <w:sz w:val="28"/>
                <w:szCs w:val="28"/>
              </w:rPr>
            </w:pPr>
            <w:r w:rsidRPr="00BF5E55">
              <w:rPr>
                <w:b/>
                <w:sz w:val="28"/>
                <w:szCs w:val="28"/>
              </w:rPr>
              <w:t>Today’s Date:</w:t>
            </w:r>
          </w:p>
          <w:p w:rsidR="003A3F81" w:rsidRPr="00E456F4" w:rsidRDefault="007D6128" w:rsidP="00EC2FF6">
            <w:pPr>
              <w:jc w:val="center"/>
            </w:pPr>
            <w:r>
              <w:t>6/12/2012</w:t>
            </w:r>
          </w:p>
        </w:tc>
      </w:tr>
      <w:tr w:rsidR="003A3F81" w:rsidTr="003A3F81">
        <w:tc>
          <w:tcPr>
            <w:tcW w:w="9360" w:type="dxa"/>
            <w:gridSpan w:val="8"/>
          </w:tcPr>
          <w:p w:rsidR="003A3F81" w:rsidRDefault="003A3F81" w:rsidP="00EC2FF6">
            <w:pPr>
              <w:rPr>
                <w:b/>
                <w:sz w:val="28"/>
                <w:szCs w:val="28"/>
              </w:rPr>
            </w:pPr>
            <w:r w:rsidRPr="00BF5E55">
              <w:rPr>
                <w:b/>
                <w:sz w:val="28"/>
                <w:szCs w:val="28"/>
              </w:rPr>
              <w:t>Scope Statement:</w:t>
            </w:r>
          </w:p>
          <w:p w:rsidR="003A3F81" w:rsidRPr="00BF3559" w:rsidRDefault="003A3F81" w:rsidP="00665884">
            <w:r>
              <w:t xml:space="preserve">Working under the guidance of the ODOT Safety Program, the </w:t>
            </w:r>
            <w:r w:rsidR="007D6128">
              <w:t>SCEO</w:t>
            </w:r>
            <w:r>
              <w:t xml:space="preserve"> and the Ohio LTAP program shall form a multidisciplinary team and then utilizing documented Road Safety Audit methodology, complete Roadway Safety Audits on five identified </w:t>
            </w:r>
            <w:r w:rsidR="00665884">
              <w:t>Shelby</w:t>
            </w:r>
            <w:r>
              <w:t xml:space="preserve"> County Routes (</w:t>
            </w:r>
            <w:r w:rsidR="00665884">
              <w:t>SHE-CR-45, SHE-CR-26, SHE-CR-25A, SHE-CR-8 and SHE-CR-22</w:t>
            </w:r>
            <w:r>
              <w:t xml:space="preserve">).  Once the RSAs have been completed, the Ohio LTAP office will compile the collected information and assist the </w:t>
            </w:r>
            <w:r w:rsidR="00665884">
              <w:t>SCEO</w:t>
            </w:r>
            <w:r>
              <w:t xml:space="preserve"> in applying for HRRR funding to implement low-cost safety improvements for the reviewed routes.  If the application is approved, the Ohio LTAP program will provide assistance to the </w:t>
            </w:r>
            <w:r w:rsidR="00665884">
              <w:t>SCEO</w:t>
            </w:r>
            <w:r>
              <w:t xml:space="preserve"> in completing the post grant funding paperwork.</w:t>
            </w:r>
          </w:p>
        </w:tc>
      </w:tr>
      <w:tr w:rsidR="003A3F81" w:rsidTr="003A3F81">
        <w:tc>
          <w:tcPr>
            <w:tcW w:w="9360" w:type="dxa"/>
            <w:gridSpan w:val="8"/>
          </w:tcPr>
          <w:p w:rsidR="003A3F81" w:rsidRPr="00BF5E55" w:rsidRDefault="003A3F81" w:rsidP="00EC2FF6">
            <w:pPr>
              <w:rPr>
                <w:b/>
                <w:sz w:val="28"/>
                <w:szCs w:val="28"/>
              </w:rPr>
            </w:pPr>
            <w:r w:rsidRPr="00BF5E55">
              <w:rPr>
                <w:b/>
                <w:sz w:val="28"/>
                <w:szCs w:val="28"/>
              </w:rPr>
              <w:t>Project Deliverable:</w:t>
            </w:r>
          </w:p>
          <w:p w:rsidR="003A3F81" w:rsidRPr="005E4869" w:rsidRDefault="003A3F81" w:rsidP="00665884">
            <w:r>
              <w:t xml:space="preserve">Application for funding by the </w:t>
            </w:r>
            <w:r w:rsidR="00665884">
              <w:t>SCEO</w:t>
            </w:r>
            <w:r>
              <w:t xml:space="preserve"> to the Ohio Safety Program for utilization of HRRR funding to implement low-cost safety improvements along the five identified rural corridors.</w:t>
            </w:r>
          </w:p>
        </w:tc>
      </w:tr>
      <w:tr w:rsidR="003A3F81" w:rsidTr="003A3F81">
        <w:tc>
          <w:tcPr>
            <w:tcW w:w="4257" w:type="dxa"/>
            <w:gridSpan w:val="5"/>
          </w:tcPr>
          <w:p w:rsidR="003A3F81" w:rsidRDefault="003A3F81" w:rsidP="00EC2FF6">
            <w:pPr>
              <w:rPr>
                <w:sz w:val="20"/>
                <w:szCs w:val="20"/>
              </w:rPr>
            </w:pPr>
            <w:r w:rsidRPr="00BF5E55">
              <w:rPr>
                <w:b/>
                <w:sz w:val="28"/>
                <w:szCs w:val="28"/>
              </w:rPr>
              <w:t>Team Sponsor(s):</w:t>
            </w:r>
            <w:r>
              <w:rPr>
                <w:b/>
                <w:sz w:val="28"/>
                <w:szCs w:val="28"/>
              </w:rPr>
              <w:t xml:space="preserve"> </w:t>
            </w:r>
            <w:r>
              <w:rPr>
                <w:sz w:val="20"/>
                <w:szCs w:val="20"/>
              </w:rPr>
              <w:t>(the individual(s) who own the process and have the authority to approve/implement changes):</w:t>
            </w:r>
          </w:p>
          <w:p w:rsidR="003A3F81" w:rsidRDefault="003A3F81" w:rsidP="00EC2FF6">
            <w:pPr>
              <w:rPr>
                <w:sz w:val="20"/>
                <w:szCs w:val="20"/>
              </w:rPr>
            </w:pPr>
          </w:p>
          <w:p w:rsidR="003A3F81" w:rsidRPr="0020570C" w:rsidRDefault="00665884" w:rsidP="00EC2FF6">
            <w:pPr>
              <w:jc w:val="center"/>
            </w:pPr>
            <w:r>
              <w:t xml:space="preserve">ROBERT B. GUEY </w:t>
            </w:r>
            <w:r w:rsidR="003A3F81">
              <w:t>&amp; MICHELLE MAY</w:t>
            </w:r>
          </w:p>
        </w:tc>
        <w:tc>
          <w:tcPr>
            <w:tcW w:w="5103" w:type="dxa"/>
            <w:gridSpan w:val="3"/>
          </w:tcPr>
          <w:p w:rsidR="003A3F81" w:rsidRDefault="003A3F81" w:rsidP="00EC2FF6">
            <w:pPr>
              <w:rPr>
                <w:b/>
                <w:sz w:val="28"/>
                <w:szCs w:val="28"/>
              </w:rPr>
            </w:pPr>
            <w:r>
              <w:rPr>
                <w:b/>
                <w:sz w:val="28"/>
                <w:szCs w:val="28"/>
              </w:rPr>
              <w:t>Sponsor(s) Phone and E-mail:</w:t>
            </w:r>
          </w:p>
          <w:p w:rsidR="00665884" w:rsidRDefault="00665884" w:rsidP="00EC2FF6">
            <w:pPr>
              <w:rPr>
                <w:rFonts w:ascii="Arial" w:hAnsi="Arial" w:cs="Arial"/>
                <w:sz w:val="21"/>
                <w:szCs w:val="21"/>
              </w:rPr>
            </w:pPr>
            <w:r>
              <w:rPr>
                <w:rFonts w:ascii="Arial" w:hAnsi="Arial" w:cs="Arial"/>
                <w:sz w:val="21"/>
                <w:szCs w:val="21"/>
              </w:rPr>
              <w:t>937-498-7244</w:t>
            </w:r>
          </w:p>
          <w:p w:rsidR="00665884" w:rsidRDefault="00E91264" w:rsidP="00EC2FF6">
            <w:pPr>
              <w:rPr>
                <w:color w:val="000000"/>
              </w:rPr>
            </w:pPr>
            <w:hyperlink r:id="rId45" w:history="1">
              <w:r w:rsidR="00665884">
                <w:rPr>
                  <w:rStyle w:val="Hyperlink"/>
                  <w:rFonts w:ascii="Arial" w:hAnsi="Arial" w:cs="Arial"/>
                  <w:sz w:val="21"/>
                  <w:szCs w:val="21"/>
                </w:rPr>
                <w:t>rbg@shelbycountyengineer.com</w:t>
              </w:r>
            </w:hyperlink>
          </w:p>
          <w:p w:rsidR="003A3F81" w:rsidRDefault="003A3F81" w:rsidP="00EC2FF6">
            <w:pPr>
              <w:rPr>
                <w:color w:val="000000"/>
              </w:rPr>
            </w:pPr>
            <w:r>
              <w:rPr>
                <w:color w:val="000000"/>
              </w:rPr>
              <w:t>614-644-8309</w:t>
            </w:r>
          </w:p>
          <w:p w:rsidR="003A3F81" w:rsidRPr="00D76E2B" w:rsidRDefault="00E91264" w:rsidP="003A3F81">
            <w:pPr>
              <w:rPr>
                <w:color w:val="000000"/>
              </w:rPr>
            </w:pPr>
            <w:hyperlink r:id="rId46" w:history="1">
              <w:r w:rsidR="003A3F81" w:rsidRPr="00804325">
                <w:rPr>
                  <w:rStyle w:val="Hyperlink"/>
                </w:rPr>
                <w:t>MICHELLE.MAY@DOT.STATE.OH.US</w:t>
              </w:r>
            </w:hyperlink>
            <w:r w:rsidR="003A3F81">
              <w:rPr>
                <w:color w:val="000000"/>
              </w:rPr>
              <w:t xml:space="preserve">  </w:t>
            </w:r>
          </w:p>
        </w:tc>
      </w:tr>
      <w:tr w:rsidR="003A3F81" w:rsidTr="003A3F81">
        <w:tc>
          <w:tcPr>
            <w:tcW w:w="4257" w:type="dxa"/>
            <w:gridSpan w:val="5"/>
          </w:tcPr>
          <w:p w:rsidR="003A3F81" w:rsidRDefault="003A3F81" w:rsidP="00EC2FF6">
            <w:pPr>
              <w:rPr>
                <w:b/>
                <w:sz w:val="28"/>
                <w:szCs w:val="28"/>
              </w:rPr>
            </w:pPr>
            <w:r>
              <w:rPr>
                <w:b/>
                <w:sz w:val="28"/>
                <w:szCs w:val="28"/>
              </w:rPr>
              <w:t>Team Facilitator(s):</w:t>
            </w:r>
          </w:p>
          <w:p w:rsidR="003A3F81" w:rsidRPr="0070274E" w:rsidRDefault="003A3F81" w:rsidP="00EC2FF6">
            <w:pPr>
              <w:jc w:val="center"/>
            </w:pPr>
            <w:r>
              <w:t>Victoria Beale</w:t>
            </w:r>
          </w:p>
        </w:tc>
        <w:tc>
          <w:tcPr>
            <w:tcW w:w="5103" w:type="dxa"/>
            <w:gridSpan w:val="3"/>
          </w:tcPr>
          <w:p w:rsidR="003A3F81" w:rsidRDefault="003A3F81" w:rsidP="00EC2FF6">
            <w:pPr>
              <w:rPr>
                <w:b/>
                <w:sz w:val="28"/>
                <w:szCs w:val="28"/>
              </w:rPr>
            </w:pPr>
            <w:r>
              <w:rPr>
                <w:b/>
                <w:sz w:val="28"/>
                <w:szCs w:val="28"/>
              </w:rPr>
              <w:t>Team Facilitator(s) Phone and E-mail:</w:t>
            </w:r>
          </w:p>
          <w:p w:rsidR="003A3F81" w:rsidRPr="00D76E2B" w:rsidRDefault="003A3F81" w:rsidP="00EC2FF6">
            <w:pPr>
              <w:jc w:val="center"/>
              <w:rPr>
                <w:color w:val="000000"/>
              </w:rPr>
            </w:pPr>
            <w:r>
              <w:rPr>
                <w:color w:val="000000"/>
              </w:rPr>
              <w:t>614-466-3129</w:t>
            </w:r>
          </w:p>
        </w:tc>
      </w:tr>
      <w:tr w:rsidR="003A3F81" w:rsidTr="003A3F81">
        <w:tc>
          <w:tcPr>
            <w:tcW w:w="1364" w:type="dxa"/>
            <w:vAlign w:val="center"/>
          </w:tcPr>
          <w:p w:rsidR="003A3F81" w:rsidRDefault="003A3F81" w:rsidP="00EC2FF6">
            <w:pPr>
              <w:jc w:val="center"/>
              <w:rPr>
                <w:b/>
                <w:sz w:val="28"/>
                <w:szCs w:val="28"/>
              </w:rPr>
            </w:pPr>
            <w:r>
              <w:rPr>
                <w:b/>
                <w:sz w:val="28"/>
                <w:szCs w:val="28"/>
              </w:rPr>
              <w:t>Member Name:</w:t>
            </w:r>
          </w:p>
        </w:tc>
        <w:tc>
          <w:tcPr>
            <w:tcW w:w="1400" w:type="dxa"/>
            <w:gridSpan w:val="2"/>
            <w:vAlign w:val="center"/>
          </w:tcPr>
          <w:p w:rsidR="003A3F81" w:rsidRDefault="003A3F81" w:rsidP="00EC2FF6">
            <w:pPr>
              <w:jc w:val="center"/>
              <w:rPr>
                <w:b/>
                <w:sz w:val="28"/>
                <w:szCs w:val="28"/>
              </w:rPr>
            </w:pPr>
            <w:r>
              <w:rPr>
                <w:b/>
                <w:sz w:val="28"/>
                <w:szCs w:val="28"/>
              </w:rPr>
              <w:t>Location:</w:t>
            </w:r>
          </w:p>
        </w:tc>
        <w:tc>
          <w:tcPr>
            <w:tcW w:w="1493" w:type="dxa"/>
            <w:gridSpan w:val="2"/>
            <w:vAlign w:val="center"/>
          </w:tcPr>
          <w:p w:rsidR="003A3F81" w:rsidRDefault="003A3F81" w:rsidP="00EC2FF6">
            <w:pPr>
              <w:jc w:val="center"/>
              <w:rPr>
                <w:b/>
                <w:sz w:val="28"/>
                <w:szCs w:val="28"/>
              </w:rPr>
            </w:pPr>
            <w:r>
              <w:rPr>
                <w:b/>
                <w:sz w:val="28"/>
                <w:szCs w:val="28"/>
              </w:rPr>
              <w:t>Phone:</w:t>
            </w:r>
          </w:p>
        </w:tc>
        <w:tc>
          <w:tcPr>
            <w:tcW w:w="5103" w:type="dxa"/>
            <w:gridSpan w:val="3"/>
            <w:vAlign w:val="center"/>
          </w:tcPr>
          <w:p w:rsidR="003A3F81" w:rsidRDefault="003A3F81" w:rsidP="00EC2FF6">
            <w:pPr>
              <w:jc w:val="center"/>
              <w:rPr>
                <w:b/>
                <w:sz w:val="28"/>
                <w:szCs w:val="28"/>
              </w:rPr>
            </w:pPr>
            <w:r>
              <w:rPr>
                <w:b/>
                <w:sz w:val="28"/>
                <w:szCs w:val="28"/>
              </w:rPr>
              <w:t>E-mail:</w:t>
            </w:r>
          </w:p>
        </w:tc>
      </w:tr>
      <w:tr w:rsidR="003A3F81" w:rsidTr="003A3F81">
        <w:tc>
          <w:tcPr>
            <w:tcW w:w="1364" w:type="dxa"/>
            <w:vAlign w:val="center"/>
          </w:tcPr>
          <w:p w:rsidR="003A3F81" w:rsidRPr="0070274E" w:rsidRDefault="0097381F" w:rsidP="00EC2FF6">
            <w:pPr>
              <w:jc w:val="center"/>
              <w:rPr>
                <w:color w:val="000000"/>
              </w:rPr>
            </w:pPr>
            <w:r>
              <w:rPr>
                <w:color w:val="000000"/>
              </w:rPr>
              <w:t>Nick Miller</w:t>
            </w:r>
          </w:p>
        </w:tc>
        <w:tc>
          <w:tcPr>
            <w:tcW w:w="1400" w:type="dxa"/>
            <w:gridSpan w:val="2"/>
            <w:vAlign w:val="center"/>
          </w:tcPr>
          <w:p w:rsidR="003A3F81" w:rsidRPr="0097381F" w:rsidRDefault="0097381F" w:rsidP="00EC2FF6">
            <w:pPr>
              <w:jc w:val="center"/>
              <w:rPr>
                <w:color w:val="000000"/>
              </w:rPr>
            </w:pPr>
            <w:r w:rsidRPr="0097381F">
              <w:rPr>
                <w:color w:val="000000"/>
              </w:rPr>
              <w:t xml:space="preserve">Shelby County Engineer’s </w:t>
            </w:r>
            <w:r w:rsidRPr="0097381F">
              <w:rPr>
                <w:color w:val="000000"/>
              </w:rPr>
              <w:lastRenderedPageBreak/>
              <w:t>Office</w:t>
            </w:r>
          </w:p>
        </w:tc>
        <w:tc>
          <w:tcPr>
            <w:tcW w:w="1493" w:type="dxa"/>
            <w:gridSpan w:val="2"/>
            <w:vAlign w:val="center"/>
          </w:tcPr>
          <w:p w:rsidR="003A3F81" w:rsidRPr="0070274E" w:rsidRDefault="003A3F81" w:rsidP="00EC2FF6">
            <w:pPr>
              <w:jc w:val="center"/>
              <w:rPr>
                <w:color w:val="000000"/>
                <w:sz w:val="20"/>
                <w:szCs w:val="20"/>
              </w:rPr>
            </w:pPr>
          </w:p>
        </w:tc>
        <w:tc>
          <w:tcPr>
            <w:tcW w:w="5103" w:type="dxa"/>
            <w:gridSpan w:val="3"/>
            <w:vAlign w:val="center"/>
          </w:tcPr>
          <w:p w:rsidR="003A3F81" w:rsidRPr="0070274E" w:rsidRDefault="003A3F81" w:rsidP="00EC2FF6">
            <w:pPr>
              <w:jc w:val="center"/>
              <w:rPr>
                <w:color w:val="000000"/>
              </w:rPr>
            </w:pPr>
          </w:p>
        </w:tc>
      </w:tr>
      <w:tr w:rsidR="0097381F" w:rsidTr="003A3F81">
        <w:tc>
          <w:tcPr>
            <w:tcW w:w="1364" w:type="dxa"/>
            <w:vAlign w:val="center"/>
          </w:tcPr>
          <w:p w:rsidR="0097381F" w:rsidRDefault="0097381F" w:rsidP="00EC2FF6">
            <w:pPr>
              <w:jc w:val="center"/>
              <w:rPr>
                <w:color w:val="000000"/>
              </w:rPr>
            </w:pPr>
            <w:r>
              <w:rPr>
                <w:color w:val="000000"/>
              </w:rPr>
              <w:lastRenderedPageBreak/>
              <w:t>Tim Bender</w:t>
            </w:r>
          </w:p>
        </w:tc>
        <w:tc>
          <w:tcPr>
            <w:tcW w:w="1400" w:type="dxa"/>
            <w:gridSpan w:val="2"/>
            <w:vAlign w:val="center"/>
          </w:tcPr>
          <w:p w:rsidR="0097381F" w:rsidRDefault="0097381F" w:rsidP="00EC2FF6">
            <w:pPr>
              <w:jc w:val="center"/>
              <w:rPr>
                <w:sz w:val="20"/>
                <w:szCs w:val="20"/>
              </w:rPr>
            </w:pPr>
            <w:r>
              <w:rPr>
                <w:sz w:val="20"/>
                <w:szCs w:val="20"/>
              </w:rPr>
              <w:t>Shelby County Sheriff’s Office</w:t>
            </w:r>
          </w:p>
        </w:tc>
        <w:tc>
          <w:tcPr>
            <w:tcW w:w="1493" w:type="dxa"/>
            <w:gridSpan w:val="2"/>
            <w:vAlign w:val="center"/>
          </w:tcPr>
          <w:p w:rsidR="0097381F" w:rsidRPr="0070274E" w:rsidRDefault="0097381F" w:rsidP="00EC2FF6">
            <w:pPr>
              <w:jc w:val="center"/>
              <w:rPr>
                <w:color w:val="000000"/>
                <w:sz w:val="20"/>
                <w:szCs w:val="20"/>
              </w:rPr>
            </w:pPr>
          </w:p>
        </w:tc>
        <w:tc>
          <w:tcPr>
            <w:tcW w:w="5103" w:type="dxa"/>
            <w:gridSpan w:val="3"/>
            <w:vAlign w:val="center"/>
          </w:tcPr>
          <w:p w:rsidR="0097381F" w:rsidRDefault="0097381F" w:rsidP="00EC2FF6">
            <w:pPr>
              <w:jc w:val="center"/>
            </w:pPr>
          </w:p>
        </w:tc>
      </w:tr>
      <w:tr w:rsidR="003A3F81" w:rsidTr="003A3F81">
        <w:tc>
          <w:tcPr>
            <w:tcW w:w="1364" w:type="dxa"/>
            <w:vAlign w:val="center"/>
          </w:tcPr>
          <w:p w:rsidR="003A3F81" w:rsidRPr="0070274E" w:rsidRDefault="0097381F" w:rsidP="00EC2FF6">
            <w:pPr>
              <w:jc w:val="center"/>
              <w:rPr>
                <w:color w:val="000000"/>
              </w:rPr>
            </w:pPr>
            <w:r>
              <w:rPr>
                <w:color w:val="000000"/>
              </w:rPr>
              <w:t xml:space="preserve">Mark </w:t>
            </w:r>
            <w:proofErr w:type="spellStart"/>
            <w:r>
              <w:rPr>
                <w:color w:val="000000"/>
              </w:rPr>
              <w:t>Wiss</w:t>
            </w:r>
            <w:proofErr w:type="spellEnd"/>
          </w:p>
        </w:tc>
        <w:tc>
          <w:tcPr>
            <w:tcW w:w="1400" w:type="dxa"/>
            <w:gridSpan w:val="2"/>
            <w:vAlign w:val="center"/>
          </w:tcPr>
          <w:p w:rsidR="003A3F81" w:rsidRDefault="0097381F" w:rsidP="00EC2FF6">
            <w:pPr>
              <w:jc w:val="center"/>
              <w:rPr>
                <w:sz w:val="20"/>
                <w:szCs w:val="20"/>
              </w:rPr>
            </w:pPr>
            <w:r>
              <w:rPr>
                <w:sz w:val="20"/>
                <w:szCs w:val="20"/>
              </w:rPr>
              <w:t>Shelby County Engineer’s Office</w:t>
            </w:r>
          </w:p>
        </w:tc>
        <w:tc>
          <w:tcPr>
            <w:tcW w:w="1493" w:type="dxa"/>
            <w:gridSpan w:val="2"/>
            <w:vAlign w:val="center"/>
          </w:tcPr>
          <w:p w:rsidR="003A3F81" w:rsidRPr="0070274E" w:rsidRDefault="003A3F81" w:rsidP="00EC2FF6">
            <w:pPr>
              <w:jc w:val="center"/>
              <w:rPr>
                <w:color w:val="000000"/>
                <w:sz w:val="20"/>
                <w:szCs w:val="20"/>
              </w:rPr>
            </w:pPr>
          </w:p>
        </w:tc>
        <w:tc>
          <w:tcPr>
            <w:tcW w:w="5103" w:type="dxa"/>
            <w:gridSpan w:val="3"/>
            <w:vAlign w:val="center"/>
          </w:tcPr>
          <w:p w:rsidR="003A3F81" w:rsidRDefault="003A3F81" w:rsidP="00EC2FF6">
            <w:pPr>
              <w:jc w:val="center"/>
            </w:pPr>
          </w:p>
        </w:tc>
      </w:tr>
      <w:tr w:rsidR="003A3F81" w:rsidTr="003A3F81">
        <w:tc>
          <w:tcPr>
            <w:tcW w:w="9360" w:type="dxa"/>
            <w:gridSpan w:val="8"/>
            <w:vAlign w:val="center"/>
          </w:tcPr>
          <w:p w:rsidR="003A3F81" w:rsidRPr="008A71A7" w:rsidRDefault="003A3F81" w:rsidP="00EC2FF6">
            <w:pPr>
              <w:jc w:val="center"/>
              <w:rPr>
                <w:b/>
                <w:color w:val="000000"/>
                <w:sz w:val="28"/>
                <w:szCs w:val="28"/>
              </w:rPr>
            </w:pPr>
            <w:r>
              <w:br w:type="page"/>
            </w:r>
            <w:r w:rsidRPr="008A71A7">
              <w:rPr>
                <w:b/>
                <w:color w:val="000000"/>
                <w:sz w:val="28"/>
                <w:szCs w:val="28"/>
              </w:rPr>
              <w:t>Subject Matter Expert Group</w:t>
            </w:r>
          </w:p>
        </w:tc>
      </w:tr>
      <w:tr w:rsidR="003A3F81" w:rsidRPr="008A71A7" w:rsidTr="003A3F81">
        <w:tc>
          <w:tcPr>
            <w:tcW w:w="2341" w:type="dxa"/>
            <w:gridSpan w:val="2"/>
            <w:vAlign w:val="center"/>
          </w:tcPr>
          <w:p w:rsidR="003A3F81" w:rsidRPr="008A71A7" w:rsidRDefault="003A3F81" w:rsidP="00EC2FF6">
            <w:pPr>
              <w:jc w:val="center"/>
              <w:rPr>
                <w:b/>
                <w:sz w:val="28"/>
                <w:szCs w:val="28"/>
              </w:rPr>
            </w:pPr>
            <w:r w:rsidRPr="008A71A7">
              <w:rPr>
                <w:b/>
                <w:sz w:val="28"/>
                <w:szCs w:val="28"/>
              </w:rPr>
              <w:t>Name</w:t>
            </w:r>
          </w:p>
        </w:tc>
        <w:tc>
          <w:tcPr>
            <w:tcW w:w="4123" w:type="dxa"/>
            <w:gridSpan w:val="4"/>
            <w:vAlign w:val="center"/>
          </w:tcPr>
          <w:p w:rsidR="003A3F81" w:rsidRPr="008A71A7" w:rsidRDefault="003A3F81" w:rsidP="00EC2FF6">
            <w:pPr>
              <w:jc w:val="center"/>
              <w:rPr>
                <w:b/>
                <w:sz w:val="28"/>
                <w:szCs w:val="28"/>
              </w:rPr>
            </w:pPr>
            <w:r w:rsidRPr="008A71A7">
              <w:rPr>
                <w:b/>
                <w:sz w:val="28"/>
                <w:szCs w:val="28"/>
              </w:rPr>
              <w:t>Location</w:t>
            </w:r>
          </w:p>
        </w:tc>
        <w:tc>
          <w:tcPr>
            <w:tcW w:w="2896" w:type="dxa"/>
            <w:gridSpan w:val="2"/>
            <w:vAlign w:val="center"/>
          </w:tcPr>
          <w:p w:rsidR="003A3F81" w:rsidRPr="008A71A7" w:rsidRDefault="003A3F81" w:rsidP="00EC2FF6">
            <w:pPr>
              <w:jc w:val="center"/>
              <w:rPr>
                <w:b/>
                <w:color w:val="000000"/>
                <w:sz w:val="28"/>
                <w:szCs w:val="28"/>
              </w:rPr>
            </w:pPr>
            <w:r w:rsidRPr="008A71A7">
              <w:rPr>
                <w:b/>
                <w:color w:val="000000"/>
                <w:sz w:val="28"/>
                <w:szCs w:val="28"/>
              </w:rPr>
              <w:t>Phone</w:t>
            </w:r>
          </w:p>
        </w:tc>
      </w:tr>
      <w:tr w:rsidR="003A3F81" w:rsidTr="003A3F81">
        <w:tc>
          <w:tcPr>
            <w:tcW w:w="2341" w:type="dxa"/>
            <w:gridSpan w:val="2"/>
            <w:vAlign w:val="center"/>
          </w:tcPr>
          <w:p w:rsidR="003A3F81" w:rsidRPr="000941E1" w:rsidRDefault="003A3F81" w:rsidP="00EC2FF6">
            <w:pPr>
              <w:jc w:val="center"/>
            </w:pPr>
            <w:r>
              <w:t>Michelle May</w:t>
            </w:r>
          </w:p>
        </w:tc>
        <w:tc>
          <w:tcPr>
            <w:tcW w:w="4123" w:type="dxa"/>
            <w:gridSpan w:val="4"/>
            <w:vAlign w:val="center"/>
          </w:tcPr>
          <w:p w:rsidR="003A3F81" w:rsidRPr="000941E1" w:rsidRDefault="003A3F81" w:rsidP="00EC2FF6">
            <w:pPr>
              <w:jc w:val="center"/>
              <w:rPr>
                <w:sz w:val="20"/>
                <w:szCs w:val="20"/>
              </w:rPr>
            </w:pPr>
            <w:r>
              <w:rPr>
                <w:sz w:val="20"/>
                <w:szCs w:val="20"/>
              </w:rPr>
              <w:t>1980 W. Broad St., Columbus, OH 43223</w:t>
            </w:r>
          </w:p>
        </w:tc>
        <w:tc>
          <w:tcPr>
            <w:tcW w:w="2896" w:type="dxa"/>
            <w:gridSpan w:val="2"/>
            <w:vAlign w:val="center"/>
          </w:tcPr>
          <w:p w:rsidR="003A3F81" w:rsidRPr="00A82F6E" w:rsidRDefault="003A3F81" w:rsidP="00EC2FF6">
            <w:pPr>
              <w:jc w:val="center"/>
            </w:pPr>
            <w:r>
              <w:t>614-644-8309</w:t>
            </w:r>
          </w:p>
        </w:tc>
      </w:tr>
      <w:tr w:rsidR="003A3F81" w:rsidTr="003A3F81">
        <w:tc>
          <w:tcPr>
            <w:tcW w:w="2341" w:type="dxa"/>
            <w:gridSpan w:val="2"/>
            <w:vAlign w:val="center"/>
          </w:tcPr>
          <w:p w:rsidR="003A3F81" w:rsidRDefault="00665884" w:rsidP="00EC2FF6">
            <w:pPr>
              <w:jc w:val="center"/>
            </w:pPr>
            <w:r>
              <w:t xml:space="preserve">Robert B. </w:t>
            </w:r>
            <w:proofErr w:type="spellStart"/>
            <w:r>
              <w:t>Guey</w:t>
            </w:r>
            <w:proofErr w:type="spellEnd"/>
          </w:p>
        </w:tc>
        <w:tc>
          <w:tcPr>
            <w:tcW w:w="4123" w:type="dxa"/>
            <w:gridSpan w:val="4"/>
            <w:vAlign w:val="center"/>
          </w:tcPr>
          <w:p w:rsidR="003A3F81" w:rsidRPr="009B44E3" w:rsidRDefault="00665884" w:rsidP="00EC2FF6">
            <w:pPr>
              <w:jc w:val="center"/>
              <w:rPr>
                <w:sz w:val="20"/>
                <w:szCs w:val="20"/>
              </w:rPr>
            </w:pPr>
            <w:r>
              <w:rPr>
                <w:sz w:val="20"/>
                <w:szCs w:val="20"/>
              </w:rPr>
              <w:t>500 Gearhart Road, Sidney, OH 45365</w:t>
            </w:r>
          </w:p>
        </w:tc>
        <w:tc>
          <w:tcPr>
            <w:tcW w:w="2896" w:type="dxa"/>
            <w:gridSpan w:val="2"/>
            <w:vAlign w:val="center"/>
          </w:tcPr>
          <w:p w:rsidR="003A3F81" w:rsidRDefault="00665884" w:rsidP="008E5F68">
            <w:pPr>
              <w:jc w:val="center"/>
            </w:pPr>
            <w:r>
              <w:t>937-498-7244</w:t>
            </w:r>
          </w:p>
        </w:tc>
      </w:tr>
      <w:tr w:rsidR="003A3F81" w:rsidTr="003A3F81">
        <w:tc>
          <w:tcPr>
            <w:tcW w:w="2341" w:type="dxa"/>
            <w:gridSpan w:val="2"/>
            <w:vAlign w:val="center"/>
          </w:tcPr>
          <w:p w:rsidR="003A3F81" w:rsidRPr="000941E1" w:rsidRDefault="003A3F81" w:rsidP="00EC2FF6">
            <w:pPr>
              <w:jc w:val="center"/>
            </w:pPr>
            <w:r>
              <w:t>Jonathan Hughes</w:t>
            </w:r>
          </w:p>
        </w:tc>
        <w:tc>
          <w:tcPr>
            <w:tcW w:w="4123" w:type="dxa"/>
            <w:gridSpan w:val="4"/>
            <w:vAlign w:val="center"/>
          </w:tcPr>
          <w:p w:rsidR="003A3F81" w:rsidRDefault="003A3F81" w:rsidP="00EC2FF6">
            <w:pPr>
              <w:jc w:val="center"/>
              <w:rPr>
                <w:b/>
                <w:sz w:val="28"/>
                <w:szCs w:val="28"/>
              </w:rPr>
            </w:pPr>
            <w:r>
              <w:rPr>
                <w:sz w:val="20"/>
                <w:szCs w:val="20"/>
              </w:rPr>
              <w:t>1980 W. Broad St., Columbus, OH 43223</w:t>
            </w:r>
          </w:p>
        </w:tc>
        <w:tc>
          <w:tcPr>
            <w:tcW w:w="2896" w:type="dxa"/>
            <w:gridSpan w:val="2"/>
            <w:vAlign w:val="center"/>
          </w:tcPr>
          <w:p w:rsidR="003A3F81" w:rsidRPr="00A82F6E" w:rsidRDefault="003A3F81" w:rsidP="00EC2FF6">
            <w:pPr>
              <w:jc w:val="center"/>
            </w:pPr>
            <w:r>
              <w:t>614-466-4019</w:t>
            </w:r>
          </w:p>
        </w:tc>
      </w:tr>
      <w:tr w:rsidR="003A3F81" w:rsidTr="003A3F81">
        <w:tc>
          <w:tcPr>
            <w:tcW w:w="2341" w:type="dxa"/>
            <w:gridSpan w:val="2"/>
            <w:vAlign w:val="center"/>
          </w:tcPr>
          <w:p w:rsidR="003A3F81" w:rsidRDefault="002D60B4" w:rsidP="00EC2FF6">
            <w:pPr>
              <w:jc w:val="center"/>
            </w:pPr>
            <w:r>
              <w:t>Craig Eley</w:t>
            </w:r>
          </w:p>
        </w:tc>
        <w:tc>
          <w:tcPr>
            <w:tcW w:w="4123" w:type="dxa"/>
            <w:gridSpan w:val="4"/>
            <w:vAlign w:val="center"/>
          </w:tcPr>
          <w:p w:rsidR="003A3F81" w:rsidRDefault="002D60B4" w:rsidP="00EC2FF6">
            <w:pPr>
              <w:jc w:val="center"/>
              <w:rPr>
                <w:sz w:val="20"/>
                <w:szCs w:val="20"/>
              </w:rPr>
            </w:pPr>
            <w:r>
              <w:rPr>
                <w:sz w:val="20"/>
                <w:szCs w:val="20"/>
              </w:rPr>
              <w:t>1001 St. Mary’s Avenue, PO Box 969, Sidney, OH 45365</w:t>
            </w:r>
          </w:p>
        </w:tc>
        <w:tc>
          <w:tcPr>
            <w:tcW w:w="2896" w:type="dxa"/>
            <w:gridSpan w:val="2"/>
            <w:vAlign w:val="center"/>
          </w:tcPr>
          <w:p w:rsidR="003A3F81" w:rsidRPr="00A82F6E" w:rsidRDefault="002D60B4" w:rsidP="00EC2FF6">
            <w:pPr>
              <w:jc w:val="center"/>
            </w:pPr>
            <w:r>
              <w:t>937-497-6832</w:t>
            </w:r>
          </w:p>
        </w:tc>
      </w:tr>
      <w:tr w:rsidR="003A3F81" w:rsidTr="003A3F81">
        <w:tc>
          <w:tcPr>
            <w:tcW w:w="3232" w:type="dxa"/>
            <w:gridSpan w:val="4"/>
          </w:tcPr>
          <w:p w:rsidR="003A3F81" w:rsidRDefault="003A3F81" w:rsidP="00EC2FF6">
            <w:pPr>
              <w:rPr>
                <w:b/>
                <w:sz w:val="28"/>
                <w:szCs w:val="28"/>
              </w:rPr>
            </w:pPr>
            <w:r>
              <w:rPr>
                <w:b/>
                <w:sz w:val="28"/>
                <w:szCs w:val="28"/>
              </w:rPr>
              <w:t>Date of 1</w:t>
            </w:r>
            <w:r w:rsidRPr="00BF5E55">
              <w:rPr>
                <w:b/>
                <w:sz w:val="28"/>
                <w:szCs w:val="28"/>
                <w:vertAlign w:val="superscript"/>
              </w:rPr>
              <w:t>st</w:t>
            </w:r>
            <w:r>
              <w:rPr>
                <w:b/>
                <w:sz w:val="28"/>
                <w:szCs w:val="28"/>
              </w:rPr>
              <w:t xml:space="preserve"> Meeting: </w:t>
            </w:r>
          </w:p>
          <w:p w:rsidR="003A3F81" w:rsidRDefault="003A3F81" w:rsidP="00EC2FF6">
            <w:pPr>
              <w:rPr>
                <w:sz w:val="20"/>
                <w:szCs w:val="20"/>
              </w:rPr>
            </w:pPr>
            <w:r w:rsidRPr="00BF5E55">
              <w:rPr>
                <w:sz w:val="20"/>
                <w:szCs w:val="20"/>
              </w:rPr>
              <w:t>(complete</w:t>
            </w:r>
            <w:r>
              <w:rPr>
                <w:sz w:val="20"/>
                <w:szCs w:val="20"/>
              </w:rPr>
              <w:t>d</w:t>
            </w:r>
            <w:r w:rsidRPr="00BF5E55">
              <w:rPr>
                <w:sz w:val="20"/>
                <w:szCs w:val="20"/>
              </w:rPr>
              <w:t xml:space="preserve"> by team meeting):</w:t>
            </w:r>
          </w:p>
          <w:p w:rsidR="003A3F81" w:rsidRDefault="003A3F81" w:rsidP="00EC2FF6">
            <w:pPr>
              <w:rPr>
                <w:sz w:val="20"/>
                <w:szCs w:val="20"/>
              </w:rPr>
            </w:pPr>
          </w:p>
          <w:p w:rsidR="003A3F81" w:rsidRPr="00D76E2B" w:rsidRDefault="003A3F81" w:rsidP="00EC2FF6">
            <w:pPr>
              <w:jc w:val="center"/>
            </w:pPr>
          </w:p>
        </w:tc>
        <w:tc>
          <w:tcPr>
            <w:tcW w:w="3232" w:type="dxa"/>
            <w:gridSpan w:val="2"/>
          </w:tcPr>
          <w:p w:rsidR="003A3F81" w:rsidRDefault="003A3F81" w:rsidP="00EC2FF6">
            <w:pPr>
              <w:rPr>
                <w:sz w:val="20"/>
                <w:szCs w:val="20"/>
              </w:rPr>
            </w:pPr>
            <w:r>
              <w:rPr>
                <w:b/>
                <w:sz w:val="28"/>
                <w:szCs w:val="28"/>
              </w:rPr>
              <w:t xml:space="preserve">Est. Date of Completion: </w:t>
            </w:r>
            <w:r>
              <w:rPr>
                <w:sz w:val="20"/>
                <w:szCs w:val="20"/>
              </w:rPr>
              <w:t>(completed by sponsor):</w:t>
            </w:r>
          </w:p>
          <w:p w:rsidR="003A3F81" w:rsidRDefault="003A3F81" w:rsidP="00EC2FF6">
            <w:pPr>
              <w:rPr>
                <w:sz w:val="20"/>
                <w:szCs w:val="20"/>
              </w:rPr>
            </w:pPr>
          </w:p>
          <w:p w:rsidR="003A3F81" w:rsidRPr="00D76E2B" w:rsidRDefault="003A3F81" w:rsidP="00EC2FF6"/>
        </w:tc>
        <w:tc>
          <w:tcPr>
            <w:tcW w:w="2896" w:type="dxa"/>
            <w:gridSpan w:val="2"/>
          </w:tcPr>
          <w:p w:rsidR="003A3F81" w:rsidRDefault="003A3F81" w:rsidP="00EC2FF6">
            <w:pPr>
              <w:rPr>
                <w:sz w:val="20"/>
                <w:szCs w:val="20"/>
              </w:rPr>
            </w:pPr>
            <w:r>
              <w:rPr>
                <w:b/>
                <w:sz w:val="28"/>
                <w:szCs w:val="28"/>
              </w:rPr>
              <w:t xml:space="preserve">Actual Completion Date: </w:t>
            </w:r>
            <w:r>
              <w:rPr>
                <w:sz w:val="20"/>
                <w:szCs w:val="20"/>
              </w:rPr>
              <w:t>(completed by team):</w:t>
            </w:r>
          </w:p>
          <w:p w:rsidR="003A3F81" w:rsidRDefault="003A3F81" w:rsidP="00EC2FF6">
            <w:pPr>
              <w:rPr>
                <w:sz w:val="20"/>
                <w:szCs w:val="20"/>
              </w:rPr>
            </w:pPr>
          </w:p>
          <w:p w:rsidR="003A3F81" w:rsidRPr="00BF5E55" w:rsidRDefault="003A3F81" w:rsidP="00EC2FF6">
            <w:pPr>
              <w:rPr>
                <w:sz w:val="20"/>
                <w:szCs w:val="20"/>
              </w:rPr>
            </w:pPr>
          </w:p>
        </w:tc>
      </w:tr>
      <w:tr w:rsidR="008E2FB0" w:rsidTr="008E2FB0">
        <w:tc>
          <w:tcPr>
            <w:tcW w:w="3232" w:type="dxa"/>
            <w:gridSpan w:val="4"/>
          </w:tcPr>
          <w:p w:rsidR="008E2FB0" w:rsidRDefault="008E2FB0" w:rsidP="00EC2FF6">
            <w:pPr>
              <w:rPr>
                <w:b/>
                <w:sz w:val="28"/>
                <w:szCs w:val="28"/>
              </w:rPr>
            </w:pPr>
            <w:r>
              <w:rPr>
                <w:b/>
                <w:sz w:val="28"/>
                <w:szCs w:val="28"/>
              </w:rPr>
              <w:t>Team Leader:</w:t>
            </w:r>
          </w:p>
          <w:p w:rsidR="008E2FB0" w:rsidRPr="00D76E2B" w:rsidRDefault="008E2FB0" w:rsidP="00EC2FF6">
            <w:pPr>
              <w:rPr>
                <w:b/>
              </w:rPr>
            </w:pPr>
          </w:p>
          <w:p w:rsidR="008E2FB0" w:rsidRDefault="008E2FB0" w:rsidP="00EC2FF6">
            <w:pPr>
              <w:jc w:val="center"/>
            </w:pPr>
            <w:r>
              <w:t>Victoria Beale</w:t>
            </w:r>
          </w:p>
          <w:p w:rsidR="008E2FB0" w:rsidRPr="0020570C" w:rsidRDefault="008E2FB0" w:rsidP="00EC2FF6"/>
        </w:tc>
        <w:tc>
          <w:tcPr>
            <w:tcW w:w="3232" w:type="dxa"/>
            <w:gridSpan w:val="2"/>
          </w:tcPr>
          <w:p w:rsidR="008E2FB0" w:rsidRDefault="008E2FB0" w:rsidP="00EC2FF6">
            <w:pPr>
              <w:rPr>
                <w:b/>
                <w:sz w:val="28"/>
                <w:szCs w:val="28"/>
              </w:rPr>
            </w:pPr>
            <w:r>
              <w:rPr>
                <w:b/>
                <w:sz w:val="28"/>
                <w:szCs w:val="28"/>
              </w:rPr>
              <w:t>Team Sponsor’s Signature/Date:</w:t>
            </w:r>
          </w:p>
        </w:tc>
        <w:tc>
          <w:tcPr>
            <w:tcW w:w="2896" w:type="dxa"/>
            <w:gridSpan w:val="2"/>
          </w:tcPr>
          <w:p w:rsidR="008E2FB0" w:rsidRPr="00D76E2B" w:rsidRDefault="008E2FB0" w:rsidP="00EC2FF6">
            <w:pPr>
              <w:rPr>
                <w:b/>
              </w:rPr>
            </w:pPr>
            <w:r>
              <w:rPr>
                <w:b/>
                <w:sz w:val="28"/>
                <w:szCs w:val="28"/>
              </w:rPr>
              <w:t>Team Sponsor’s Signature/Date:</w:t>
            </w:r>
          </w:p>
        </w:tc>
      </w:tr>
    </w:tbl>
    <w:p w:rsidR="003A3F81" w:rsidRDefault="003A3F81" w:rsidP="003A3F81"/>
    <w:p w:rsidR="001F04CD" w:rsidRDefault="001F04CD" w:rsidP="006140F8">
      <w:pPr>
        <w:pStyle w:val="Heading1"/>
        <w:jc w:val="center"/>
      </w:pPr>
    </w:p>
    <w:p w:rsidR="001F04CD" w:rsidRDefault="001F04CD" w:rsidP="006140F8">
      <w:pPr>
        <w:pStyle w:val="Heading1"/>
        <w:jc w:val="center"/>
      </w:pPr>
      <w:bookmarkStart w:id="19" w:name="_Toc268613488"/>
      <w:bookmarkStart w:id="20" w:name="_Toc268613538"/>
      <w:bookmarkStart w:id="21" w:name="_Toc268679157"/>
      <w:bookmarkStart w:id="22" w:name="_Toc268692208"/>
      <w:bookmarkStart w:id="23" w:name="_Toc269974579"/>
      <w:bookmarkEnd w:id="19"/>
      <w:bookmarkEnd w:id="20"/>
      <w:bookmarkEnd w:id="21"/>
      <w:bookmarkEnd w:id="22"/>
      <w:bookmarkEnd w:id="23"/>
    </w:p>
    <w:p w:rsidR="001F04CD" w:rsidRDefault="001F04CD" w:rsidP="006140F8">
      <w:pPr>
        <w:pStyle w:val="Heading1"/>
        <w:jc w:val="center"/>
      </w:pPr>
    </w:p>
    <w:p w:rsidR="002913B9" w:rsidRDefault="002913B9">
      <w:pPr>
        <w:spacing w:after="0" w:line="240" w:lineRule="auto"/>
        <w:rPr>
          <w:rFonts w:ascii="Cambria" w:eastAsia="Times New Roman" w:hAnsi="Cambria"/>
          <w:b/>
          <w:bCs/>
          <w:color w:val="365F91"/>
          <w:sz w:val="28"/>
          <w:szCs w:val="36"/>
        </w:rPr>
      </w:pPr>
      <w:bookmarkStart w:id="24" w:name="_Toc266280728"/>
      <w:r>
        <w:rPr>
          <w:szCs w:val="36"/>
        </w:rPr>
        <w:br w:type="page"/>
      </w:r>
    </w:p>
    <w:p w:rsidR="00522F84" w:rsidRPr="00522F84" w:rsidRDefault="00522F84" w:rsidP="00522F84">
      <w:pPr>
        <w:pStyle w:val="Heading1"/>
        <w:jc w:val="center"/>
        <w:rPr>
          <w:szCs w:val="36"/>
        </w:rPr>
      </w:pPr>
      <w:bookmarkStart w:id="25" w:name="_Toc327366911"/>
      <w:r w:rsidRPr="00522F84">
        <w:rPr>
          <w:szCs w:val="36"/>
        </w:rPr>
        <w:lastRenderedPageBreak/>
        <w:t>Timeframe for Project Completion</w:t>
      </w:r>
      <w:bookmarkEnd w:id="24"/>
      <w:bookmarkEnd w:id="25"/>
    </w:p>
    <w:p w:rsidR="00522F84" w:rsidRDefault="00522F84" w:rsidP="00522F84">
      <w:pPr>
        <w:rPr>
          <w:rFonts w:asciiTheme="majorHAnsi" w:hAnsiTheme="majorHAnsi"/>
          <w:sz w:val="24"/>
          <w:szCs w:val="24"/>
        </w:rPr>
      </w:pPr>
    </w:p>
    <w:p w:rsidR="00522F84" w:rsidRDefault="00522F84" w:rsidP="00522F84">
      <w:pPr>
        <w:pStyle w:val="ListParagraph"/>
        <w:numPr>
          <w:ilvl w:val="0"/>
          <w:numId w:val="6"/>
        </w:numPr>
        <w:spacing w:after="0" w:line="480" w:lineRule="auto"/>
        <w:ind w:left="1800"/>
        <w:rPr>
          <w:rFonts w:asciiTheme="majorHAnsi" w:hAnsiTheme="majorHAnsi"/>
          <w:sz w:val="24"/>
          <w:szCs w:val="24"/>
        </w:rPr>
      </w:pPr>
      <w:r>
        <w:rPr>
          <w:rFonts w:asciiTheme="majorHAnsi" w:hAnsiTheme="majorHAnsi"/>
          <w:sz w:val="24"/>
          <w:szCs w:val="24"/>
        </w:rPr>
        <w:t>Initial Data Compilation for Accident Locations</w:t>
      </w:r>
    </w:p>
    <w:p w:rsidR="00522F84" w:rsidRDefault="00522F84" w:rsidP="00522F84">
      <w:pPr>
        <w:pStyle w:val="ListParagraph"/>
        <w:numPr>
          <w:ilvl w:val="1"/>
          <w:numId w:val="6"/>
        </w:numPr>
        <w:spacing w:after="0" w:line="480" w:lineRule="auto"/>
        <w:ind w:left="2520"/>
        <w:rPr>
          <w:rFonts w:asciiTheme="majorHAnsi" w:hAnsiTheme="majorHAnsi"/>
          <w:sz w:val="24"/>
          <w:szCs w:val="24"/>
        </w:rPr>
      </w:pPr>
      <w:r>
        <w:rPr>
          <w:rFonts w:asciiTheme="majorHAnsi" w:hAnsiTheme="majorHAnsi"/>
          <w:sz w:val="24"/>
          <w:szCs w:val="24"/>
        </w:rPr>
        <w:t>2 weeks</w:t>
      </w:r>
    </w:p>
    <w:p w:rsidR="00522F84" w:rsidRDefault="00522F84" w:rsidP="00522F84">
      <w:pPr>
        <w:pStyle w:val="ListParagraph"/>
        <w:numPr>
          <w:ilvl w:val="0"/>
          <w:numId w:val="6"/>
        </w:numPr>
        <w:spacing w:after="0" w:line="480" w:lineRule="auto"/>
        <w:ind w:left="1800"/>
        <w:rPr>
          <w:rFonts w:asciiTheme="majorHAnsi" w:hAnsiTheme="majorHAnsi"/>
          <w:sz w:val="24"/>
          <w:szCs w:val="24"/>
        </w:rPr>
      </w:pPr>
      <w:r>
        <w:rPr>
          <w:rFonts w:asciiTheme="majorHAnsi" w:hAnsiTheme="majorHAnsi"/>
          <w:sz w:val="24"/>
          <w:szCs w:val="24"/>
        </w:rPr>
        <w:t>Meeting with County Engineer</w:t>
      </w:r>
    </w:p>
    <w:p w:rsidR="00522F84" w:rsidRDefault="00522F84" w:rsidP="00522F84">
      <w:pPr>
        <w:pStyle w:val="ListParagraph"/>
        <w:numPr>
          <w:ilvl w:val="1"/>
          <w:numId w:val="6"/>
        </w:numPr>
        <w:spacing w:after="0" w:line="480" w:lineRule="auto"/>
        <w:ind w:left="2520"/>
        <w:rPr>
          <w:rFonts w:asciiTheme="majorHAnsi" w:hAnsiTheme="majorHAnsi"/>
          <w:sz w:val="24"/>
          <w:szCs w:val="24"/>
        </w:rPr>
      </w:pPr>
      <w:r>
        <w:rPr>
          <w:rFonts w:asciiTheme="majorHAnsi" w:hAnsiTheme="majorHAnsi"/>
          <w:sz w:val="24"/>
          <w:szCs w:val="24"/>
        </w:rPr>
        <w:t>1 week</w:t>
      </w:r>
    </w:p>
    <w:p w:rsidR="00522F84" w:rsidRDefault="00522F84" w:rsidP="00522F84">
      <w:pPr>
        <w:pStyle w:val="ListParagraph"/>
        <w:numPr>
          <w:ilvl w:val="0"/>
          <w:numId w:val="6"/>
        </w:numPr>
        <w:spacing w:after="0" w:line="480" w:lineRule="auto"/>
        <w:ind w:left="1800"/>
        <w:rPr>
          <w:rFonts w:asciiTheme="majorHAnsi" w:hAnsiTheme="majorHAnsi"/>
          <w:sz w:val="24"/>
          <w:szCs w:val="24"/>
        </w:rPr>
      </w:pPr>
      <w:r>
        <w:rPr>
          <w:rFonts w:asciiTheme="majorHAnsi" w:hAnsiTheme="majorHAnsi"/>
          <w:sz w:val="24"/>
          <w:szCs w:val="24"/>
        </w:rPr>
        <w:t>Chartering Team</w:t>
      </w:r>
    </w:p>
    <w:p w:rsidR="00522F84" w:rsidRDefault="00522F84" w:rsidP="00522F84">
      <w:pPr>
        <w:pStyle w:val="ListParagraph"/>
        <w:numPr>
          <w:ilvl w:val="1"/>
          <w:numId w:val="6"/>
        </w:numPr>
        <w:spacing w:after="0" w:line="480" w:lineRule="auto"/>
        <w:ind w:left="2520"/>
        <w:rPr>
          <w:rFonts w:asciiTheme="majorHAnsi" w:hAnsiTheme="majorHAnsi"/>
          <w:sz w:val="24"/>
          <w:szCs w:val="24"/>
        </w:rPr>
      </w:pPr>
      <w:r>
        <w:rPr>
          <w:rFonts w:asciiTheme="majorHAnsi" w:hAnsiTheme="majorHAnsi"/>
          <w:sz w:val="24"/>
          <w:szCs w:val="24"/>
        </w:rPr>
        <w:t>2 weeks</w:t>
      </w:r>
    </w:p>
    <w:p w:rsidR="00522F84" w:rsidRDefault="00522F84" w:rsidP="00522F84">
      <w:pPr>
        <w:pStyle w:val="ListParagraph"/>
        <w:numPr>
          <w:ilvl w:val="0"/>
          <w:numId w:val="6"/>
        </w:numPr>
        <w:spacing w:after="0" w:line="480" w:lineRule="auto"/>
        <w:ind w:left="1800"/>
        <w:rPr>
          <w:rFonts w:asciiTheme="majorHAnsi" w:hAnsiTheme="majorHAnsi"/>
          <w:sz w:val="24"/>
          <w:szCs w:val="24"/>
        </w:rPr>
      </w:pPr>
      <w:r>
        <w:rPr>
          <w:rFonts w:asciiTheme="majorHAnsi" w:hAnsiTheme="majorHAnsi"/>
          <w:sz w:val="24"/>
          <w:szCs w:val="24"/>
        </w:rPr>
        <w:t>Team Training</w:t>
      </w:r>
    </w:p>
    <w:p w:rsidR="00522F84" w:rsidRDefault="00522F84" w:rsidP="00522F84">
      <w:pPr>
        <w:pStyle w:val="ListParagraph"/>
        <w:numPr>
          <w:ilvl w:val="1"/>
          <w:numId w:val="6"/>
        </w:numPr>
        <w:spacing w:after="0" w:line="480" w:lineRule="auto"/>
        <w:ind w:left="2520"/>
        <w:rPr>
          <w:rFonts w:asciiTheme="majorHAnsi" w:hAnsiTheme="majorHAnsi"/>
          <w:sz w:val="24"/>
          <w:szCs w:val="24"/>
        </w:rPr>
      </w:pPr>
      <w:r>
        <w:rPr>
          <w:rFonts w:asciiTheme="majorHAnsi" w:hAnsiTheme="majorHAnsi"/>
          <w:sz w:val="24"/>
          <w:szCs w:val="24"/>
        </w:rPr>
        <w:t>1 week</w:t>
      </w:r>
    </w:p>
    <w:p w:rsidR="00522F84" w:rsidRDefault="00522F84" w:rsidP="00522F84">
      <w:pPr>
        <w:pStyle w:val="ListParagraph"/>
        <w:numPr>
          <w:ilvl w:val="0"/>
          <w:numId w:val="6"/>
        </w:numPr>
        <w:spacing w:after="0" w:line="480" w:lineRule="auto"/>
        <w:ind w:left="1800"/>
        <w:rPr>
          <w:rFonts w:asciiTheme="majorHAnsi" w:hAnsiTheme="majorHAnsi"/>
          <w:sz w:val="24"/>
          <w:szCs w:val="24"/>
        </w:rPr>
      </w:pPr>
      <w:r>
        <w:rPr>
          <w:rFonts w:asciiTheme="majorHAnsi" w:hAnsiTheme="majorHAnsi"/>
          <w:sz w:val="24"/>
          <w:szCs w:val="24"/>
        </w:rPr>
        <w:t>Assessment of Sites</w:t>
      </w:r>
    </w:p>
    <w:p w:rsidR="00522F84" w:rsidRDefault="002913B9" w:rsidP="00522F84">
      <w:pPr>
        <w:pStyle w:val="ListParagraph"/>
        <w:numPr>
          <w:ilvl w:val="1"/>
          <w:numId w:val="6"/>
        </w:numPr>
        <w:spacing w:after="0" w:line="480" w:lineRule="auto"/>
        <w:ind w:left="2520"/>
        <w:rPr>
          <w:rFonts w:asciiTheme="majorHAnsi" w:hAnsiTheme="majorHAnsi"/>
          <w:sz w:val="24"/>
          <w:szCs w:val="24"/>
        </w:rPr>
      </w:pPr>
      <w:r>
        <w:rPr>
          <w:rFonts w:asciiTheme="majorHAnsi" w:hAnsiTheme="majorHAnsi"/>
          <w:sz w:val="24"/>
          <w:szCs w:val="24"/>
        </w:rPr>
        <w:t>2</w:t>
      </w:r>
      <w:r w:rsidR="00522F84">
        <w:rPr>
          <w:rFonts w:asciiTheme="majorHAnsi" w:hAnsiTheme="majorHAnsi"/>
          <w:sz w:val="24"/>
          <w:szCs w:val="24"/>
        </w:rPr>
        <w:t xml:space="preserve"> week</w:t>
      </w:r>
      <w:r>
        <w:rPr>
          <w:rFonts w:asciiTheme="majorHAnsi" w:hAnsiTheme="majorHAnsi"/>
          <w:sz w:val="24"/>
          <w:szCs w:val="24"/>
        </w:rPr>
        <w:t>s</w:t>
      </w:r>
      <w:r w:rsidR="00522F84">
        <w:rPr>
          <w:rFonts w:asciiTheme="majorHAnsi" w:hAnsiTheme="majorHAnsi"/>
          <w:sz w:val="24"/>
          <w:szCs w:val="24"/>
        </w:rPr>
        <w:t xml:space="preserve"> </w:t>
      </w:r>
    </w:p>
    <w:p w:rsidR="00522F84" w:rsidRDefault="00522F84" w:rsidP="00522F84">
      <w:pPr>
        <w:pStyle w:val="ListParagraph"/>
        <w:numPr>
          <w:ilvl w:val="0"/>
          <w:numId w:val="6"/>
        </w:numPr>
        <w:spacing w:after="0" w:line="480" w:lineRule="auto"/>
        <w:ind w:left="1800"/>
        <w:rPr>
          <w:rFonts w:asciiTheme="majorHAnsi" w:hAnsiTheme="majorHAnsi"/>
          <w:sz w:val="24"/>
          <w:szCs w:val="24"/>
        </w:rPr>
      </w:pPr>
      <w:r>
        <w:rPr>
          <w:rFonts w:asciiTheme="majorHAnsi" w:hAnsiTheme="majorHAnsi"/>
          <w:sz w:val="24"/>
          <w:szCs w:val="24"/>
        </w:rPr>
        <w:t>Recommendations Report</w:t>
      </w:r>
    </w:p>
    <w:p w:rsidR="00522F84" w:rsidRDefault="002913B9" w:rsidP="00522F84">
      <w:pPr>
        <w:pStyle w:val="ListParagraph"/>
        <w:numPr>
          <w:ilvl w:val="1"/>
          <w:numId w:val="6"/>
        </w:numPr>
        <w:spacing w:after="0" w:line="480" w:lineRule="auto"/>
        <w:ind w:left="2520"/>
        <w:rPr>
          <w:rFonts w:asciiTheme="majorHAnsi" w:hAnsiTheme="majorHAnsi"/>
          <w:sz w:val="24"/>
          <w:szCs w:val="24"/>
        </w:rPr>
      </w:pPr>
      <w:r>
        <w:rPr>
          <w:rFonts w:asciiTheme="majorHAnsi" w:hAnsiTheme="majorHAnsi"/>
          <w:sz w:val="24"/>
          <w:szCs w:val="24"/>
        </w:rPr>
        <w:t>2 weeks</w:t>
      </w:r>
    </w:p>
    <w:p w:rsidR="00522F84" w:rsidRDefault="00522F84" w:rsidP="00522F84">
      <w:pPr>
        <w:pStyle w:val="ListParagraph"/>
        <w:numPr>
          <w:ilvl w:val="0"/>
          <w:numId w:val="6"/>
        </w:numPr>
        <w:spacing w:after="0" w:line="480" w:lineRule="auto"/>
        <w:ind w:left="1800"/>
        <w:rPr>
          <w:rFonts w:asciiTheme="majorHAnsi" w:hAnsiTheme="majorHAnsi"/>
          <w:sz w:val="24"/>
          <w:szCs w:val="24"/>
        </w:rPr>
      </w:pPr>
      <w:r>
        <w:rPr>
          <w:rFonts w:asciiTheme="majorHAnsi" w:hAnsiTheme="majorHAnsi"/>
          <w:sz w:val="24"/>
          <w:szCs w:val="24"/>
        </w:rPr>
        <w:t>Project Documentation Assistance</w:t>
      </w:r>
    </w:p>
    <w:p w:rsidR="00522F84" w:rsidRDefault="00522F84" w:rsidP="00522F84">
      <w:pPr>
        <w:pStyle w:val="ListParagraph"/>
        <w:numPr>
          <w:ilvl w:val="1"/>
          <w:numId w:val="6"/>
        </w:numPr>
        <w:spacing w:after="0" w:line="480" w:lineRule="auto"/>
        <w:ind w:left="2520"/>
        <w:rPr>
          <w:rFonts w:asciiTheme="majorHAnsi" w:hAnsiTheme="majorHAnsi"/>
          <w:sz w:val="24"/>
          <w:szCs w:val="24"/>
        </w:rPr>
      </w:pPr>
      <w:r>
        <w:rPr>
          <w:rFonts w:asciiTheme="majorHAnsi" w:hAnsiTheme="majorHAnsi"/>
          <w:sz w:val="24"/>
          <w:szCs w:val="24"/>
        </w:rPr>
        <w:t>Dependent upon length of project</w:t>
      </w:r>
    </w:p>
    <w:p w:rsidR="00522F84" w:rsidRDefault="00522F84" w:rsidP="00522F84">
      <w:pPr>
        <w:spacing w:after="0" w:line="480" w:lineRule="auto"/>
        <w:ind w:left="1080"/>
        <w:rPr>
          <w:rFonts w:asciiTheme="majorHAnsi" w:hAnsiTheme="majorHAnsi"/>
          <w:sz w:val="24"/>
          <w:szCs w:val="24"/>
        </w:rPr>
      </w:pPr>
    </w:p>
    <w:p w:rsidR="00522F84" w:rsidRPr="00141AFD" w:rsidRDefault="00522F84" w:rsidP="00522F84">
      <w:pPr>
        <w:spacing w:after="0" w:line="480" w:lineRule="auto"/>
        <w:ind w:left="1080"/>
        <w:rPr>
          <w:rFonts w:asciiTheme="majorHAnsi" w:hAnsiTheme="majorHAnsi"/>
          <w:sz w:val="24"/>
          <w:szCs w:val="24"/>
        </w:rPr>
      </w:pPr>
      <w:r>
        <w:rPr>
          <w:rFonts w:asciiTheme="majorHAnsi" w:hAnsiTheme="majorHAnsi"/>
          <w:sz w:val="24"/>
          <w:szCs w:val="24"/>
        </w:rPr>
        <w:t xml:space="preserve">Time commitment:    </w:t>
      </w:r>
      <w:r w:rsidR="002913B9">
        <w:rPr>
          <w:rFonts w:asciiTheme="majorHAnsi" w:hAnsiTheme="majorHAnsi"/>
          <w:sz w:val="24"/>
          <w:szCs w:val="24"/>
        </w:rPr>
        <w:t>3</w:t>
      </w:r>
      <w:r>
        <w:rPr>
          <w:rFonts w:asciiTheme="majorHAnsi" w:hAnsiTheme="majorHAnsi"/>
          <w:sz w:val="24"/>
          <w:szCs w:val="24"/>
        </w:rPr>
        <w:t xml:space="preserve"> months (not including final step of process)</w:t>
      </w:r>
    </w:p>
    <w:p w:rsidR="007B1E8A" w:rsidRDefault="007B1E8A">
      <w:pPr>
        <w:spacing w:after="0" w:line="240" w:lineRule="auto"/>
        <w:rPr>
          <w:rFonts w:ascii="Cambria" w:eastAsia="Times New Roman" w:hAnsi="Cambria"/>
          <w:b/>
          <w:bCs/>
          <w:color w:val="365F91"/>
          <w:sz w:val="28"/>
          <w:szCs w:val="28"/>
        </w:rPr>
      </w:pPr>
    </w:p>
    <w:p w:rsidR="007B1E8A" w:rsidRDefault="007B1E8A">
      <w:pPr>
        <w:spacing w:after="0" w:line="240" w:lineRule="auto"/>
        <w:rPr>
          <w:rFonts w:ascii="Cambria" w:eastAsia="Times New Roman" w:hAnsi="Cambria"/>
          <w:b/>
          <w:bCs/>
          <w:color w:val="365F91"/>
          <w:sz w:val="28"/>
          <w:szCs w:val="28"/>
        </w:rPr>
      </w:pPr>
      <w:r>
        <w:br w:type="page"/>
      </w:r>
    </w:p>
    <w:p w:rsidR="001A3EB7" w:rsidRDefault="001A3EB7" w:rsidP="001A3EB7">
      <w:pPr>
        <w:pStyle w:val="Heading1"/>
        <w:jc w:val="center"/>
      </w:pPr>
      <w:bookmarkStart w:id="26" w:name="_Toc327366912"/>
      <w:r>
        <w:lastRenderedPageBreak/>
        <w:t>Steps for Conducting a Road Safety Audit</w:t>
      </w:r>
      <w:bookmarkEnd w:id="26"/>
    </w:p>
    <w:p w:rsidR="001A3EB7" w:rsidRDefault="001A3EB7" w:rsidP="009D297F"/>
    <w:p w:rsidR="009D297F" w:rsidRDefault="009D297F" w:rsidP="009D297F">
      <w:r>
        <w:t>The following is an outline of the steps which the multidisciplinary team will be following when completing the Road Safety Audits (RSA):</w:t>
      </w:r>
    </w:p>
    <w:p w:rsidR="009D297F" w:rsidRDefault="009D297F" w:rsidP="009D297F">
      <w:pPr>
        <w:pStyle w:val="ListParagraph"/>
        <w:numPr>
          <w:ilvl w:val="0"/>
          <w:numId w:val="8"/>
        </w:numPr>
      </w:pPr>
      <w:r>
        <w:t>Preparation</w:t>
      </w:r>
    </w:p>
    <w:p w:rsidR="009D297F" w:rsidRDefault="009D297F" w:rsidP="009D297F">
      <w:pPr>
        <w:pStyle w:val="ListParagraph"/>
        <w:numPr>
          <w:ilvl w:val="1"/>
          <w:numId w:val="8"/>
        </w:numPr>
      </w:pPr>
      <w:r>
        <w:t>Initial Meeting</w:t>
      </w:r>
    </w:p>
    <w:p w:rsidR="009D297F" w:rsidRDefault="009D297F" w:rsidP="009D297F">
      <w:pPr>
        <w:pStyle w:val="ListParagraph"/>
        <w:numPr>
          <w:ilvl w:val="2"/>
          <w:numId w:val="8"/>
        </w:numPr>
      </w:pPr>
      <w:r>
        <w:t>Discussion of why</w:t>
      </w:r>
    </w:p>
    <w:p w:rsidR="009D297F" w:rsidRDefault="009D297F" w:rsidP="009D297F">
      <w:pPr>
        <w:pStyle w:val="ListParagraph"/>
        <w:numPr>
          <w:ilvl w:val="3"/>
          <w:numId w:val="8"/>
        </w:numPr>
      </w:pPr>
      <w:r>
        <w:t xml:space="preserve">The </w:t>
      </w:r>
      <w:r w:rsidR="00665884">
        <w:t>SCEO</w:t>
      </w:r>
      <w:r>
        <w:t xml:space="preserve"> and the Ohio LTAP center have teamed up to complete the reviews of the qualifying roadways</w:t>
      </w:r>
    </w:p>
    <w:p w:rsidR="009D297F" w:rsidRDefault="009D297F" w:rsidP="009D297F">
      <w:pPr>
        <w:pStyle w:val="ListParagraph"/>
        <w:numPr>
          <w:ilvl w:val="3"/>
          <w:numId w:val="8"/>
        </w:numPr>
      </w:pPr>
      <w:r>
        <w:t>They have been invited to be part of the multidisciplinary team</w:t>
      </w:r>
    </w:p>
    <w:p w:rsidR="009D297F" w:rsidRDefault="009D297F" w:rsidP="009D297F">
      <w:pPr>
        <w:pStyle w:val="ListParagraph"/>
        <w:numPr>
          <w:ilvl w:val="3"/>
          <w:numId w:val="8"/>
        </w:numPr>
      </w:pPr>
      <w:r>
        <w:t>The RSA process</w:t>
      </w:r>
    </w:p>
    <w:p w:rsidR="009D297F" w:rsidRDefault="00EC2FF6" w:rsidP="009D297F">
      <w:pPr>
        <w:pStyle w:val="ListParagraph"/>
        <w:numPr>
          <w:ilvl w:val="4"/>
          <w:numId w:val="8"/>
        </w:numPr>
      </w:pPr>
      <w:r>
        <w:t>Team review times</w:t>
      </w:r>
    </w:p>
    <w:p w:rsidR="00EC2FF6" w:rsidRDefault="00EC2FF6" w:rsidP="009D297F">
      <w:pPr>
        <w:pStyle w:val="ListParagraph"/>
        <w:numPr>
          <w:ilvl w:val="4"/>
          <w:numId w:val="8"/>
        </w:numPr>
      </w:pPr>
      <w:r>
        <w:t>Equipment to be utilized</w:t>
      </w:r>
    </w:p>
    <w:p w:rsidR="00EC2FF6" w:rsidRDefault="00EC2FF6" w:rsidP="009D297F">
      <w:pPr>
        <w:pStyle w:val="ListParagraph"/>
        <w:numPr>
          <w:ilvl w:val="4"/>
          <w:numId w:val="8"/>
        </w:numPr>
      </w:pPr>
      <w:r>
        <w:t>Resources/Subject Matter Experts which/who will be available</w:t>
      </w:r>
    </w:p>
    <w:p w:rsidR="009D297F" w:rsidRDefault="009D297F" w:rsidP="00EC2FF6">
      <w:pPr>
        <w:pStyle w:val="ListParagraph"/>
        <w:numPr>
          <w:ilvl w:val="2"/>
          <w:numId w:val="8"/>
        </w:numPr>
      </w:pPr>
      <w:r>
        <w:t xml:space="preserve">Review of </w:t>
      </w:r>
    </w:p>
    <w:p w:rsidR="009D297F" w:rsidRDefault="009D297F" w:rsidP="009D297F">
      <w:pPr>
        <w:pStyle w:val="ListParagraph"/>
        <w:numPr>
          <w:ilvl w:val="3"/>
          <w:numId w:val="8"/>
        </w:numPr>
      </w:pPr>
      <w:r>
        <w:t>Accident information per corridor</w:t>
      </w:r>
    </w:p>
    <w:p w:rsidR="00EC2FF6" w:rsidRDefault="00EC2FF6" w:rsidP="00EC2FF6">
      <w:pPr>
        <w:pStyle w:val="ListParagraph"/>
        <w:numPr>
          <w:ilvl w:val="2"/>
          <w:numId w:val="8"/>
        </w:numPr>
      </w:pPr>
      <w:r>
        <w:t>Next Steps</w:t>
      </w:r>
    </w:p>
    <w:p w:rsidR="00EC2FF6" w:rsidRDefault="00EC2FF6" w:rsidP="00EC2FF6">
      <w:pPr>
        <w:pStyle w:val="ListParagraph"/>
        <w:numPr>
          <w:ilvl w:val="3"/>
          <w:numId w:val="8"/>
        </w:numPr>
      </w:pPr>
      <w:r>
        <w:t>Schedule coordination for RSA team physical reviews of locations</w:t>
      </w:r>
    </w:p>
    <w:p w:rsidR="00EC2FF6" w:rsidRDefault="00EC2FF6" w:rsidP="00EC2FF6">
      <w:pPr>
        <w:pStyle w:val="ListParagraph"/>
        <w:numPr>
          <w:ilvl w:val="3"/>
          <w:numId w:val="8"/>
        </w:numPr>
      </w:pPr>
      <w:r>
        <w:t>Determination of meeting time to compile recommendations report</w:t>
      </w:r>
      <w:r w:rsidR="002913B9">
        <w:t xml:space="preserve"> (recommend immediate following physical reviews)</w:t>
      </w:r>
    </w:p>
    <w:p w:rsidR="00EC2FF6" w:rsidRDefault="00EC2FF6" w:rsidP="00EC2FF6">
      <w:pPr>
        <w:pStyle w:val="ListParagraph"/>
        <w:numPr>
          <w:ilvl w:val="1"/>
          <w:numId w:val="8"/>
        </w:numPr>
      </w:pPr>
      <w:r>
        <w:t xml:space="preserve">RSA Team </w:t>
      </w:r>
      <w:r w:rsidR="00793ECB">
        <w:t>Physical Reviews</w:t>
      </w:r>
    </w:p>
    <w:p w:rsidR="00793ECB" w:rsidRDefault="00793ECB" w:rsidP="00793ECB">
      <w:pPr>
        <w:pStyle w:val="ListParagraph"/>
        <w:numPr>
          <w:ilvl w:val="2"/>
          <w:numId w:val="8"/>
        </w:numPr>
      </w:pPr>
      <w:r>
        <w:t>Conduct field inspection of the roads and determine if and what changes should be recommended to improve the roadway’s safety</w:t>
      </w:r>
    </w:p>
    <w:p w:rsidR="00793ECB" w:rsidRDefault="00793ECB" w:rsidP="00793ECB">
      <w:pPr>
        <w:pStyle w:val="ListParagraph"/>
        <w:numPr>
          <w:ilvl w:val="2"/>
          <w:numId w:val="8"/>
        </w:numPr>
      </w:pPr>
      <w:r>
        <w:t>Standard recommended visit times:</w:t>
      </w:r>
    </w:p>
    <w:p w:rsidR="00793ECB" w:rsidRDefault="00793ECB" w:rsidP="00793ECB">
      <w:pPr>
        <w:pStyle w:val="ListParagraph"/>
        <w:numPr>
          <w:ilvl w:val="3"/>
          <w:numId w:val="8"/>
        </w:numPr>
      </w:pPr>
      <w:r>
        <w:t>Morning peak travel time</w:t>
      </w:r>
    </w:p>
    <w:p w:rsidR="00793ECB" w:rsidRDefault="00793ECB" w:rsidP="00793ECB">
      <w:pPr>
        <w:pStyle w:val="ListParagraph"/>
        <w:numPr>
          <w:ilvl w:val="3"/>
          <w:numId w:val="8"/>
        </w:numPr>
      </w:pPr>
      <w:r>
        <w:t>Noon peak travel time</w:t>
      </w:r>
    </w:p>
    <w:p w:rsidR="00793ECB" w:rsidRDefault="00793ECB" w:rsidP="00793ECB">
      <w:pPr>
        <w:pStyle w:val="ListParagraph"/>
        <w:numPr>
          <w:ilvl w:val="3"/>
          <w:numId w:val="8"/>
        </w:numPr>
      </w:pPr>
      <w:r>
        <w:t>Afternoon peak travel time</w:t>
      </w:r>
    </w:p>
    <w:p w:rsidR="00793ECB" w:rsidRDefault="00793ECB" w:rsidP="00793ECB">
      <w:pPr>
        <w:pStyle w:val="ListParagraph"/>
        <w:numPr>
          <w:ilvl w:val="3"/>
          <w:numId w:val="8"/>
        </w:numPr>
      </w:pPr>
      <w:r>
        <w:t>Night peak travel time</w:t>
      </w:r>
    </w:p>
    <w:p w:rsidR="00793ECB" w:rsidRDefault="00793ECB" w:rsidP="00793ECB">
      <w:pPr>
        <w:pStyle w:val="ListParagraph"/>
        <w:numPr>
          <w:ilvl w:val="2"/>
          <w:numId w:val="8"/>
        </w:numPr>
      </w:pPr>
      <w:r>
        <w:t>Complete the reviewer field documentation guide during the various physical reviews</w:t>
      </w:r>
    </w:p>
    <w:p w:rsidR="00793ECB" w:rsidRDefault="001276B5" w:rsidP="00793ECB">
      <w:pPr>
        <w:pStyle w:val="ListParagraph"/>
        <w:numPr>
          <w:ilvl w:val="1"/>
          <w:numId w:val="8"/>
        </w:numPr>
      </w:pPr>
      <w:r>
        <w:t>Recommendations Meeting</w:t>
      </w:r>
    </w:p>
    <w:p w:rsidR="001276B5" w:rsidRDefault="001276B5" w:rsidP="001276B5">
      <w:pPr>
        <w:pStyle w:val="ListParagraph"/>
        <w:numPr>
          <w:ilvl w:val="2"/>
          <w:numId w:val="8"/>
        </w:numPr>
      </w:pPr>
      <w:r>
        <w:t>After the physical field reviews are completed, the team will meet to</w:t>
      </w:r>
    </w:p>
    <w:p w:rsidR="001276B5" w:rsidRDefault="001276B5" w:rsidP="001276B5">
      <w:pPr>
        <w:pStyle w:val="ListParagraph"/>
        <w:numPr>
          <w:ilvl w:val="3"/>
          <w:numId w:val="8"/>
        </w:numPr>
      </w:pPr>
      <w:r>
        <w:t>Compile issues identified</w:t>
      </w:r>
    </w:p>
    <w:p w:rsidR="001276B5" w:rsidRDefault="001276B5" w:rsidP="001276B5">
      <w:pPr>
        <w:pStyle w:val="ListParagraph"/>
        <w:numPr>
          <w:ilvl w:val="3"/>
          <w:numId w:val="8"/>
        </w:numPr>
      </w:pPr>
      <w:r>
        <w:t xml:space="preserve">Possible recommendations </w:t>
      </w:r>
    </w:p>
    <w:p w:rsidR="001276B5" w:rsidRDefault="001276B5" w:rsidP="001276B5">
      <w:pPr>
        <w:pStyle w:val="ListParagraph"/>
        <w:numPr>
          <w:ilvl w:val="2"/>
          <w:numId w:val="8"/>
        </w:numPr>
      </w:pPr>
      <w:r>
        <w:t xml:space="preserve">The team will then rank and prioritize the recommendations so the information can be utilized by the </w:t>
      </w:r>
      <w:r w:rsidR="00665884">
        <w:t>SCEO</w:t>
      </w:r>
      <w:r>
        <w:t xml:space="preserve"> and the Ohio LTAP center in preparing the recommendations report and grant application to the ODOT Safety Program for possible High Risk Rural Roads (HRRR) safety improvements funding</w:t>
      </w:r>
    </w:p>
    <w:p w:rsidR="00522F84" w:rsidRDefault="00522F84" w:rsidP="001A3EB7">
      <w:r>
        <w:br w:type="page"/>
      </w:r>
    </w:p>
    <w:p w:rsidR="009D516F" w:rsidRDefault="009D516F" w:rsidP="006140F8">
      <w:pPr>
        <w:pStyle w:val="Heading1"/>
        <w:jc w:val="center"/>
        <w:sectPr w:rsidR="009D516F" w:rsidSect="001B1A82">
          <w:footerReference w:type="even" r:id="rId47"/>
          <w:footerReference w:type="default" r:id="rId48"/>
          <w:type w:val="continuous"/>
          <w:pgSz w:w="12240" w:h="15840"/>
          <w:pgMar w:top="900" w:right="1440" w:bottom="1440" w:left="810" w:header="720" w:footer="720" w:gutter="0"/>
          <w:cols w:space="720"/>
          <w:titlePg/>
          <w:docGrid w:linePitch="360"/>
        </w:sectPr>
      </w:pPr>
    </w:p>
    <w:p w:rsidR="009D516F" w:rsidRDefault="009D516F" w:rsidP="006140F8">
      <w:pPr>
        <w:pStyle w:val="Heading1"/>
        <w:jc w:val="center"/>
      </w:pPr>
      <w:bookmarkStart w:id="27" w:name="_Toc327366913"/>
      <w:r>
        <w:lastRenderedPageBreak/>
        <w:t>Funding Percentages for Improvements</w:t>
      </w:r>
      <w:bookmarkEnd w:id="27"/>
    </w:p>
    <w:p w:rsidR="009D516F" w:rsidRDefault="009D516F" w:rsidP="009D516F"/>
    <w:p w:rsidR="009D516F" w:rsidRDefault="009D516F" w:rsidP="009D516F"/>
    <w:p w:rsidR="009D516F" w:rsidRPr="009D516F" w:rsidRDefault="009D516F" w:rsidP="009D516F">
      <w:pPr>
        <w:ind w:left="720"/>
        <w:rPr>
          <w:rFonts w:asciiTheme="majorHAnsi" w:hAnsiTheme="majorHAnsi"/>
          <w:sz w:val="24"/>
          <w:szCs w:val="24"/>
        </w:rPr>
      </w:pPr>
      <w:r w:rsidRPr="009D516F">
        <w:rPr>
          <w:rFonts w:asciiTheme="majorHAnsi" w:hAnsiTheme="majorHAnsi"/>
          <w:sz w:val="24"/>
          <w:szCs w:val="24"/>
        </w:rPr>
        <w:t xml:space="preserve">The following items are eligible for 100% Federal Funding </w:t>
      </w:r>
      <w:r w:rsidR="000B6671">
        <w:rPr>
          <w:rFonts w:asciiTheme="majorHAnsi" w:hAnsiTheme="majorHAnsi"/>
          <w:sz w:val="24"/>
          <w:szCs w:val="24"/>
        </w:rPr>
        <w:t xml:space="preserve">when approved as part of </w:t>
      </w:r>
      <w:r w:rsidR="007A271E">
        <w:rPr>
          <w:rFonts w:asciiTheme="majorHAnsi" w:hAnsiTheme="majorHAnsi"/>
          <w:sz w:val="24"/>
          <w:szCs w:val="24"/>
        </w:rPr>
        <w:t xml:space="preserve">a </w:t>
      </w:r>
      <w:r w:rsidR="007A271E" w:rsidRPr="009D516F">
        <w:rPr>
          <w:rFonts w:asciiTheme="majorHAnsi" w:hAnsiTheme="majorHAnsi"/>
          <w:sz w:val="24"/>
          <w:szCs w:val="24"/>
        </w:rPr>
        <w:t>safety</w:t>
      </w:r>
      <w:r w:rsidRPr="009D516F">
        <w:rPr>
          <w:rFonts w:asciiTheme="majorHAnsi" w:hAnsiTheme="majorHAnsi"/>
          <w:sz w:val="24"/>
          <w:szCs w:val="24"/>
        </w:rPr>
        <w:t xml:space="preserve"> </w:t>
      </w:r>
      <w:r w:rsidR="000B6671">
        <w:rPr>
          <w:rFonts w:asciiTheme="majorHAnsi" w:hAnsiTheme="majorHAnsi"/>
          <w:sz w:val="24"/>
          <w:szCs w:val="24"/>
        </w:rPr>
        <w:t>improvement p</w:t>
      </w:r>
      <w:r w:rsidRPr="009D516F">
        <w:rPr>
          <w:rFonts w:asciiTheme="majorHAnsi" w:hAnsiTheme="majorHAnsi"/>
          <w:sz w:val="24"/>
          <w:szCs w:val="24"/>
        </w:rPr>
        <w:t>roject:</w:t>
      </w:r>
    </w:p>
    <w:p w:rsidR="009D516F" w:rsidRPr="009D516F" w:rsidRDefault="009D516F" w:rsidP="009D516F">
      <w:pPr>
        <w:ind w:left="720"/>
        <w:rPr>
          <w:rFonts w:asciiTheme="majorHAnsi" w:hAnsiTheme="majorHAnsi"/>
          <w:sz w:val="24"/>
          <w:szCs w:val="24"/>
        </w:rPr>
      </w:pPr>
    </w:p>
    <w:p w:rsidR="009D516F" w:rsidRPr="009D516F" w:rsidRDefault="009D516F" w:rsidP="009D516F">
      <w:pPr>
        <w:pStyle w:val="ListParagraph"/>
        <w:numPr>
          <w:ilvl w:val="0"/>
          <w:numId w:val="12"/>
        </w:numPr>
        <w:spacing w:before="240"/>
        <w:contextualSpacing w:val="0"/>
        <w:rPr>
          <w:rFonts w:asciiTheme="majorHAnsi" w:hAnsiTheme="majorHAnsi"/>
          <w:sz w:val="24"/>
          <w:szCs w:val="24"/>
        </w:rPr>
      </w:pPr>
      <w:r w:rsidRPr="009D516F">
        <w:rPr>
          <w:rFonts w:asciiTheme="majorHAnsi" w:hAnsiTheme="majorHAnsi"/>
          <w:sz w:val="24"/>
          <w:szCs w:val="24"/>
        </w:rPr>
        <w:t>Pavement markings</w:t>
      </w:r>
    </w:p>
    <w:p w:rsidR="009D516F" w:rsidRPr="009D516F" w:rsidRDefault="009D516F" w:rsidP="009D516F">
      <w:pPr>
        <w:pStyle w:val="ListParagraph"/>
        <w:numPr>
          <w:ilvl w:val="0"/>
          <w:numId w:val="12"/>
        </w:numPr>
        <w:spacing w:before="240"/>
        <w:contextualSpacing w:val="0"/>
        <w:rPr>
          <w:rFonts w:asciiTheme="majorHAnsi" w:hAnsiTheme="majorHAnsi"/>
          <w:sz w:val="24"/>
          <w:szCs w:val="24"/>
        </w:rPr>
      </w:pPr>
      <w:r w:rsidRPr="009D516F">
        <w:rPr>
          <w:rFonts w:asciiTheme="majorHAnsi" w:hAnsiTheme="majorHAnsi"/>
          <w:sz w:val="24"/>
          <w:szCs w:val="24"/>
        </w:rPr>
        <w:t>Installation of traffic signs</w:t>
      </w:r>
    </w:p>
    <w:p w:rsidR="009D516F" w:rsidRPr="009D516F" w:rsidRDefault="009D516F" w:rsidP="009D516F">
      <w:pPr>
        <w:pStyle w:val="ListParagraph"/>
        <w:numPr>
          <w:ilvl w:val="0"/>
          <w:numId w:val="12"/>
        </w:numPr>
        <w:spacing w:before="240"/>
        <w:contextualSpacing w:val="0"/>
        <w:rPr>
          <w:rFonts w:asciiTheme="majorHAnsi" w:hAnsiTheme="majorHAnsi"/>
          <w:sz w:val="24"/>
          <w:szCs w:val="24"/>
        </w:rPr>
      </w:pPr>
      <w:r w:rsidRPr="009D516F">
        <w:rPr>
          <w:rFonts w:asciiTheme="majorHAnsi" w:hAnsiTheme="majorHAnsi"/>
          <w:sz w:val="24"/>
          <w:szCs w:val="24"/>
        </w:rPr>
        <w:t>Traffic lights</w:t>
      </w:r>
    </w:p>
    <w:p w:rsidR="009D516F" w:rsidRPr="009D516F" w:rsidRDefault="009D516F" w:rsidP="009D516F">
      <w:pPr>
        <w:pStyle w:val="ListParagraph"/>
        <w:numPr>
          <w:ilvl w:val="0"/>
          <w:numId w:val="12"/>
        </w:numPr>
        <w:spacing w:before="240"/>
        <w:contextualSpacing w:val="0"/>
        <w:rPr>
          <w:rFonts w:asciiTheme="majorHAnsi" w:hAnsiTheme="majorHAnsi"/>
          <w:sz w:val="24"/>
          <w:szCs w:val="24"/>
        </w:rPr>
      </w:pPr>
      <w:r w:rsidRPr="009D516F">
        <w:rPr>
          <w:rFonts w:asciiTheme="majorHAnsi" w:hAnsiTheme="majorHAnsi"/>
          <w:sz w:val="24"/>
          <w:szCs w:val="24"/>
        </w:rPr>
        <w:t>Guardrails</w:t>
      </w:r>
    </w:p>
    <w:p w:rsidR="009D516F" w:rsidRPr="009D516F" w:rsidRDefault="009D516F" w:rsidP="009D516F">
      <w:pPr>
        <w:pStyle w:val="ListParagraph"/>
        <w:numPr>
          <w:ilvl w:val="0"/>
          <w:numId w:val="12"/>
        </w:numPr>
        <w:spacing w:before="240"/>
        <w:contextualSpacing w:val="0"/>
        <w:rPr>
          <w:rFonts w:asciiTheme="majorHAnsi" w:hAnsiTheme="majorHAnsi"/>
          <w:sz w:val="24"/>
          <w:szCs w:val="24"/>
        </w:rPr>
      </w:pPr>
      <w:r w:rsidRPr="009D516F">
        <w:rPr>
          <w:rFonts w:asciiTheme="majorHAnsi" w:hAnsiTheme="majorHAnsi"/>
          <w:sz w:val="24"/>
          <w:szCs w:val="24"/>
        </w:rPr>
        <w:t>Impact attenuators</w:t>
      </w:r>
    </w:p>
    <w:p w:rsidR="009D516F" w:rsidRPr="009D516F" w:rsidRDefault="009D516F" w:rsidP="009D516F">
      <w:pPr>
        <w:pStyle w:val="ListParagraph"/>
        <w:numPr>
          <w:ilvl w:val="0"/>
          <w:numId w:val="12"/>
        </w:numPr>
        <w:spacing w:before="240"/>
        <w:contextualSpacing w:val="0"/>
        <w:rPr>
          <w:rFonts w:asciiTheme="majorHAnsi" w:hAnsiTheme="majorHAnsi"/>
          <w:sz w:val="24"/>
          <w:szCs w:val="24"/>
        </w:rPr>
      </w:pPr>
      <w:r w:rsidRPr="009D516F">
        <w:rPr>
          <w:rFonts w:asciiTheme="majorHAnsi" w:hAnsiTheme="majorHAnsi"/>
          <w:sz w:val="24"/>
          <w:szCs w:val="24"/>
        </w:rPr>
        <w:t>Concrete barrier end treatments</w:t>
      </w:r>
    </w:p>
    <w:p w:rsidR="009D516F" w:rsidRPr="009D516F" w:rsidRDefault="009D516F" w:rsidP="009D516F">
      <w:pPr>
        <w:pStyle w:val="ListParagraph"/>
        <w:numPr>
          <w:ilvl w:val="0"/>
          <w:numId w:val="12"/>
        </w:numPr>
        <w:spacing w:before="240"/>
        <w:contextualSpacing w:val="0"/>
        <w:rPr>
          <w:rFonts w:asciiTheme="majorHAnsi" w:hAnsiTheme="majorHAnsi"/>
          <w:sz w:val="24"/>
          <w:szCs w:val="24"/>
        </w:rPr>
      </w:pPr>
      <w:r w:rsidRPr="009D516F">
        <w:rPr>
          <w:rFonts w:asciiTheme="majorHAnsi" w:hAnsiTheme="majorHAnsi"/>
          <w:sz w:val="24"/>
          <w:szCs w:val="24"/>
        </w:rPr>
        <w:t>Breakaway utility poles</w:t>
      </w:r>
    </w:p>
    <w:p w:rsidR="009D516F" w:rsidRPr="009D516F" w:rsidRDefault="009D516F" w:rsidP="009D516F">
      <w:pPr>
        <w:pStyle w:val="ListParagraph"/>
        <w:numPr>
          <w:ilvl w:val="0"/>
          <w:numId w:val="12"/>
        </w:numPr>
        <w:spacing w:before="240"/>
        <w:contextualSpacing w:val="0"/>
        <w:rPr>
          <w:rFonts w:asciiTheme="majorHAnsi" w:hAnsiTheme="majorHAnsi"/>
          <w:sz w:val="24"/>
          <w:szCs w:val="24"/>
        </w:rPr>
      </w:pPr>
      <w:r w:rsidRPr="009D516F">
        <w:rPr>
          <w:rFonts w:asciiTheme="majorHAnsi" w:hAnsiTheme="majorHAnsi"/>
          <w:sz w:val="24"/>
          <w:szCs w:val="24"/>
        </w:rPr>
        <w:t>Traffic controlled signalization</w:t>
      </w:r>
    </w:p>
    <w:p w:rsidR="009D516F" w:rsidRPr="009D516F" w:rsidRDefault="009D516F" w:rsidP="009D516F">
      <w:pPr>
        <w:pStyle w:val="ListParagraph"/>
        <w:numPr>
          <w:ilvl w:val="0"/>
          <w:numId w:val="12"/>
        </w:numPr>
        <w:spacing w:before="240"/>
        <w:contextualSpacing w:val="0"/>
        <w:rPr>
          <w:rFonts w:asciiTheme="majorHAnsi" w:hAnsiTheme="majorHAnsi"/>
          <w:sz w:val="24"/>
          <w:szCs w:val="24"/>
        </w:rPr>
      </w:pPr>
      <w:r w:rsidRPr="009D516F">
        <w:rPr>
          <w:rFonts w:asciiTheme="majorHAnsi" w:hAnsiTheme="majorHAnsi"/>
          <w:sz w:val="24"/>
          <w:szCs w:val="24"/>
        </w:rPr>
        <w:t>Traffic circles (roundabouts)</w:t>
      </w:r>
    </w:p>
    <w:p w:rsidR="009D516F" w:rsidRPr="009D516F" w:rsidRDefault="009D516F" w:rsidP="009D516F">
      <w:pPr>
        <w:pStyle w:val="ListParagraph"/>
        <w:numPr>
          <w:ilvl w:val="0"/>
          <w:numId w:val="12"/>
        </w:numPr>
        <w:spacing w:before="240"/>
        <w:contextualSpacing w:val="0"/>
        <w:rPr>
          <w:rFonts w:asciiTheme="majorHAnsi" w:hAnsiTheme="majorHAnsi"/>
          <w:sz w:val="24"/>
          <w:szCs w:val="24"/>
        </w:rPr>
      </w:pPr>
      <w:r w:rsidRPr="009D516F">
        <w:rPr>
          <w:rFonts w:asciiTheme="majorHAnsi" w:hAnsiTheme="majorHAnsi"/>
          <w:sz w:val="24"/>
          <w:szCs w:val="24"/>
        </w:rPr>
        <w:t>Safety rest areas</w:t>
      </w:r>
    </w:p>
    <w:p w:rsidR="009D516F" w:rsidRPr="009D516F" w:rsidRDefault="009D516F" w:rsidP="009D516F">
      <w:pPr>
        <w:pStyle w:val="ListParagraph"/>
        <w:numPr>
          <w:ilvl w:val="0"/>
          <w:numId w:val="12"/>
        </w:numPr>
        <w:spacing w:before="240"/>
        <w:contextualSpacing w:val="0"/>
        <w:rPr>
          <w:rFonts w:asciiTheme="majorHAnsi" w:hAnsiTheme="majorHAnsi"/>
          <w:sz w:val="24"/>
          <w:szCs w:val="24"/>
        </w:rPr>
      </w:pPr>
      <w:r w:rsidRPr="009D516F">
        <w:rPr>
          <w:rFonts w:asciiTheme="majorHAnsi" w:hAnsiTheme="majorHAnsi"/>
          <w:sz w:val="24"/>
          <w:szCs w:val="24"/>
        </w:rPr>
        <w:t>Commuter carpooling and van pooling</w:t>
      </w:r>
    </w:p>
    <w:p w:rsidR="009D516F" w:rsidRPr="009D516F" w:rsidRDefault="009D516F" w:rsidP="009D516F">
      <w:pPr>
        <w:pStyle w:val="ListParagraph"/>
        <w:numPr>
          <w:ilvl w:val="0"/>
          <w:numId w:val="12"/>
        </w:numPr>
        <w:spacing w:before="240"/>
        <w:contextualSpacing w:val="0"/>
        <w:rPr>
          <w:rFonts w:asciiTheme="majorHAnsi" w:hAnsiTheme="majorHAnsi"/>
          <w:sz w:val="24"/>
          <w:szCs w:val="24"/>
        </w:rPr>
      </w:pPr>
      <w:r w:rsidRPr="009D516F">
        <w:rPr>
          <w:rFonts w:asciiTheme="majorHAnsi" w:hAnsiTheme="majorHAnsi"/>
          <w:sz w:val="24"/>
          <w:szCs w:val="24"/>
        </w:rPr>
        <w:t>Rail-highway crossing closure</w:t>
      </w:r>
    </w:p>
    <w:p w:rsidR="009D516F" w:rsidRPr="009D516F" w:rsidRDefault="009D516F" w:rsidP="009D516F">
      <w:pPr>
        <w:pStyle w:val="ListParagraph"/>
        <w:numPr>
          <w:ilvl w:val="0"/>
          <w:numId w:val="12"/>
        </w:numPr>
        <w:spacing w:before="240"/>
        <w:contextualSpacing w:val="0"/>
        <w:rPr>
          <w:rFonts w:asciiTheme="majorHAnsi" w:hAnsiTheme="majorHAnsi"/>
          <w:sz w:val="24"/>
          <w:szCs w:val="24"/>
        </w:rPr>
      </w:pPr>
      <w:r w:rsidRPr="009D516F">
        <w:rPr>
          <w:rFonts w:asciiTheme="majorHAnsi" w:hAnsiTheme="majorHAnsi"/>
          <w:sz w:val="24"/>
          <w:szCs w:val="24"/>
        </w:rPr>
        <w:t>Priority control systems for emergency vehicles or transit vehicles at signalized intersections</w:t>
      </w:r>
    </w:p>
    <w:p w:rsidR="009D516F" w:rsidRDefault="009D516F" w:rsidP="009D516F">
      <w:pPr>
        <w:rPr>
          <w:rFonts w:ascii="Cambria" w:eastAsia="Times New Roman" w:hAnsi="Cambria"/>
          <w:b/>
          <w:bCs/>
          <w:color w:val="365F91"/>
          <w:sz w:val="28"/>
          <w:szCs w:val="28"/>
        </w:rPr>
      </w:pPr>
    </w:p>
    <w:p w:rsidR="009D516F" w:rsidRDefault="009D516F" w:rsidP="009D516F">
      <w:pPr>
        <w:rPr>
          <w:rFonts w:ascii="Cambria" w:eastAsia="Times New Roman" w:hAnsi="Cambria"/>
          <w:b/>
          <w:bCs/>
          <w:color w:val="365F91"/>
          <w:sz w:val="28"/>
          <w:szCs w:val="28"/>
        </w:rPr>
      </w:pPr>
    </w:p>
    <w:p w:rsidR="006B6174" w:rsidRPr="005A618D" w:rsidRDefault="009D516F" w:rsidP="00C71192">
      <w:pPr>
        <w:ind w:left="720"/>
      </w:pPr>
      <w:r w:rsidRPr="009D516F">
        <w:rPr>
          <w:rFonts w:ascii="Cambria" w:hAnsi="Cambria"/>
          <w:sz w:val="24"/>
          <w:szCs w:val="24"/>
        </w:rPr>
        <w:t>All other approved safety improvements are eligible for funding at 90% Federal Funds with a 10% match by the local agency.</w:t>
      </w:r>
      <w:bookmarkStart w:id="28" w:name="_GoBack"/>
      <w:bookmarkEnd w:id="28"/>
    </w:p>
    <w:sectPr w:rsidR="006B6174" w:rsidRPr="005A618D" w:rsidSect="009D516F">
      <w:pgSz w:w="12240" w:h="15840"/>
      <w:pgMar w:top="900" w:right="1440" w:bottom="1440" w:left="81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128" w:rsidRDefault="007D6128" w:rsidP="00F20EE6">
      <w:pPr>
        <w:spacing w:after="0" w:line="240" w:lineRule="auto"/>
      </w:pPr>
      <w:r>
        <w:separator/>
      </w:r>
    </w:p>
  </w:endnote>
  <w:endnote w:type="continuationSeparator" w:id="0">
    <w:p w:rsidR="007D6128" w:rsidRDefault="007D6128" w:rsidP="00F20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128" w:rsidRDefault="00E91264">
    <w:pPr>
      <w:pStyle w:val="Footer"/>
      <w:pBdr>
        <w:top w:val="single" w:sz="4" w:space="1" w:color="A5A5A5" w:themeColor="background1" w:themeShade="A5"/>
      </w:pBdr>
      <w:rPr>
        <w:color w:val="7F7F7F" w:themeColor="background1" w:themeShade="7F"/>
      </w:rPr>
    </w:pPr>
    <w:sdt>
      <w:sdtPr>
        <w:rPr>
          <w:noProof/>
          <w:color w:val="7F7F7F" w:themeColor="background1" w:themeShade="7F"/>
        </w:rPr>
        <w:alias w:val="Company"/>
        <w:id w:val="76117946"/>
        <w:placeholder>
          <w:docPart w:val="3D5C5760E49540B0A743F57F66A359DE"/>
        </w:placeholder>
        <w:dataBinding w:prefixMappings="xmlns:ns0='http://schemas.openxmlformats.org/officeDocument/2006/extended-properties'" w:xpath="/ns0:Properties[1]/ns0:Company[1]" w:storeItemID="{6668398D-A668-4E3E-A5EB-62B293D839F1}"/>
        <w:text/>
      </w:sdtPr>
      <w:sdtEndPr/>
      <w:sdtContent>
        <w:r w:rsidR="007D6128">
          <w:rPr>
            <w:noProof/>
            <w:color w:val="7F7F7F" w:themeColor="background1" w:themeShade="7F"/>
          </w:rPr>
          <w:t>Ohio LTAP Center</w:t>
        </w:r>
      </w:sdtContent>
    </w:sdt>
    <w:r w:rsidR="007D6128">
      <w:rPr>
        <w:noProof/>
        <w:color w:val="7F7F7F" w:themeColor="background1" w:themeShade="7F"/>
      </w:rPr>
      <mc:AlternateContent>
        <mc:Choice Requires="wpg">
          <w:drawing>
            <wp:anchor distT="0" distB="0" distL="114300" distR="114300" simplePos="0" relativeHeight="251662336" behindDoc="0" locked="0" layoutInCell="0" allowOverlap="1" wp14:anchorId="607255AC" wp14:editId="1D4D7F3A">
              <wp:simplePos x="0" y="0"/>
              <wp:positionH relativeFrom="leftMargin">
                <wp:align>center</wp:align>
              </wp:positionH>
              <mc:AlternateContent>
                <mc:Choice Requires="wp14">
                  <wp:positionV relativeFrom="margin">
                    <wp14:pctPosVOffset>90000</wp14:pctPosVOffset>
                  </wp:positionV>
                </mc:Choice>
                <mc:Fallback>
                  <wp:positionV relativeFrom="page">
                    <wp:posOffset>8286750</wp:posOffset>
                  </wp:positionV>
                </mc:Fallback>
              </mc:AlternateContent>
              <wp:extent cx="400050" cy="615950"/>
              <wp:effectExtent l="9525" t="0" r="1905" b="3810"/>
              <wp:wrapNone/>
              <wp:docPr id="6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615950"/>
                        <a:chOff x="319" y="13204"/>
                        <a:chExt cx="1162" cy="970"/>
                      </a:xfrm>
                    </wpg:grpSpPr>
                    <wpg:grpSp>
                      <wpg:cNvPr id="61" name="Group 28"/>
                      <wpg:cNvGrpSpPr>
                        <a:grpSpLocks noChangeAspect="1"/>
                      </wpg:cNvGrpSpPr>
                      <wpg:grpSpPr bwMode="auto">
                        <a:xfrm>
                          <a:off x="319" y="13723"/>
                          <a:ext cx="1162" cy="451"/>
                          <a:chOff x="-6" y="3399"/>
                          <a:chExt cx="12197" cy="4253"/>
                        </a:xfrm>
                      </wpg:grpSpPr>
                      <wpg:grpSp>
                        <wpg:cNvPr id="62" name="Group 29"/>
                        <wpg:cNvGrpSpPr>
                          <a:grpSpLocks noChangeAspect="1"/>
                        </wpg:cNvGrpSpPr>
                        <wpg:grpSpPr bwMode="auto">
                          <a:xfrm>
                            <a:off x="-6" y="3717"/>
                            <a:ext cx="12189" cy="3550"/>
                            <a:chOff x="18" y="7468"/>
                            <a:chExt cx="12189" cy="3550"/>
                          </a:xfrm>
                        </wpg:grpSpPr>
                        <wps:wsp>
                          <wps:cNvPr id="63" name="Freeform 30"/>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31"/>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2"/>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 name="Freeform 33"/>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4"/>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5"/>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6"/>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7"/>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8"/>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 name="Text Box 39"/>
                      <wps:cNvSpPr txBox="1">
                        <a:spLocks noChangeArrowheads="1"/>
                      </wps:cNvSpPr>
                      <wps:spPr bwMode="auto">
                        <a:xfrm>
                          <a:off x="423" y="13204"/>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128" w:rsidRDefault="007D6128">
                            <w:pPr>
                              <w:jc w:val="center"/>
                              <w:rPr>
                                <w:color w:val="4F81BD" w:themeColor="accent1"/>
                              </w:rPr>
                            </w:pPr>
                            <w:r>
                              <w:fldChar w:fldCharType="begin"/>
                            </w:r>
                            <w:r>
                              <w:instrText xml:space="preserve"> PAGE   \* MERGEFORMAT </w:instrText>
                            </w:r>
                            <w:r>
                              <w:fldChar w:fldCharType="separate"/>
                            </w:r>
                            <w:r w:rsidR="00E91264" w:rsidRPr="00E91264">
                              <w:rPr>
                                <w:noProof/>
                                <w:color w:val="4F81BD" w:themeColor="accent1"/>
                              </w:rPr>
                              <w:t>36</w:t>
                            </w:r>
                            <w:r>
                              <w:rPr>
                                <w:noProof/>
                                <w:color w:val="4F81BD" w:themeColor="accent1"/>
                              </w:rPr>
                              <w:fldChar w:fldCharType="end"/>
                            </w:r>
                          </w:p>
                          <w:p w:rsidR="007D6128" w:rsidRDefault="007D6128"/>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id="Group 27" o:spid="_x0000_s1032" style="position:absolute;margin-left:0;margin-top:0;width:31.5pt;height:48.5pt;z-index:251662336;mso-width-percent:800;mso-top-percent:900;mso-position-horizontal:center;mso-position-horizontal-relative:left-margin-area;mso-position-vertical-relative:margin;mso-width-percent:800;mso-top-percent:900;mso-width-relative:left-margin-area" coordorigin="319,13204"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" o:allowincell="f">
              <v:group id="Group 28" o:spid="_x0000_s1033" style="position:absolute;left:319;top:13723;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o:lock v:ext="edit" aspectratio="t"/>
                <v:group id="Group 29" o:spid="_x0000_s1034"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o:lock v:ext="edit" aspectratio="t"/>
                  <v:shape id="Freeform 30" o:spid="_x0000_s1035"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n9MQA&#10;AADbAAAADwAAAGRycy9kb3ducmV2LnhtbESPQWvCQBSE74X+h+UJvTUbLQRNXSUUbOvNRC309si+&#10;JtHs25DdxvjvuwXB4zAz3zDL9WhaMVDvGssKplEMgri0uuFKwWG/eZ6DcB5ZY2uZFFzJwXr1+LDE&#10;VNsL5zQUvhIBwi5FBbX3XSqlK2sy6CLbEQfvx/YGfZB9JXWPlwA3rZzFcSINNhwWauzorabyXPwa&#10;BXk8HnfJ+4c+fZVuWGS77yLPtko9TcbsFYSn0d/Dt/anVpC8wP+X8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Z/TEAAAA2wAAAA8AAAAAAAAAAAAAAAAAmAIAAGRycy9k&#10;b3ducmV2LnhtbFBLBQYAAAAABAAEAPUAAACJAwAAAAA=&#10;" path="m,l17,2863,7132,2578r,-2378l,xe" fillcolor="#a7bfde [1620]" stroked="f">
                    <v:fill opacity="32896f"/>
                    <v:path arrowok="t" o:connecttype="custom" o:connectlocs="0,0;17,2863;7132,2578;7132,200;0,0" o:connectangles="0,0,0,0,0"/>
                    <o:lock v:ext="edit" aspectratio="t"/>
                  </v:shape>
                  <v:shape id="Freeform 31" o:spid="_x0000_s1036"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UHsMA&#10;AADbAAAADwAAAGRycy9kb3ducmV2LnhtbESPT4vCMBTE74LfITzBm6bqKkvXKCIK4sl/IHt7NM+2&#10;a/NSmmjrfnojCB6HmfkNM503phB3qlxuWcGgH4EgTqzOOVVwOq573yCcR9ZYWCYFD3Iwn7VbU4y1&#10;rXlP94NPRYCwi1FB5n0ZS+mSjAy6vi2Jg3exlUEfZJVKXWEd4KaQwyiaSIM5h4UMS1pmlFwPN6Pg&#10;73eE3LjldrT639V4G582l/NVqW6nWfyA8NT4T/jd3mgFky9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bUHsMAAADbAAAADwAAAAAAAAAAAAAAAACYAgAAZHJzL2Rv&#10;d25yZXYueG1sUEsFBgAAAAAEAAQA9QAAAIgDAAAAAA==&#10;" path="m,569l,2930r3466,620l3466,,,569xe" fillcolor="#d3dfee [820]" stroked="f">
                    <v:fill opacity="32896f"/>
                    <v:path arrowok="t" o:connecttype="custom" o:connectlocs="0,569;0,2930;3466,3550;3466,0;0,569" o:connectangles="0,0,0,0,0"/>
                    <o:lock v:ext="edit" aspectratio="t"/>
                  </v:shape>
                  <v:shape id="Freeform 32" o:spid="_x0000_s1037"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9sMA&#10;AADbAAAADwAAAGRycy9kb3ducmV2LnhtbESPQWvCQBSE74X+h+UVvNVNtIqkrkGEgtemQa/P7DNZ&#10;mn0bs9sk9td3C4Ueh5n5htnmk23FQL03jhWk8wQEceW04VpB+fH2vAHhA7LG1jEpuJOHfPf4sMVM&#10;u5HfaShCLSKEfYYKmhC6TEpfNWTRz11HHL2r6y2GKPta6h7HCLetXCTJWlo0HBca7OjQUPVZfFkF&#10;tF9+31bF+XJJzelUdeXCvAxWqdnTtH8FEWgK/+G/9lErWK/g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C9sMAAADbAAAADwAAAAAAAAAAAAAAAACYAgAAZHJzL2Rv&#10;d25yZXYueG1sUEsFBgAAAAAEAAQA9QAAAIgDAAAAAA==&#10;" path="m,l,3550,1591,2746r,-2009l,xe" fillcolor="#a7bfde [1620]" stroked="f">
                    <v:fill opacity="32896f"/>
                    <v:path arrowok="t" o:connecttype="custom" o:connectlocs="0,0;0,3550;1591,2746;1591,737;0,0" o:connectangles="0,0,0,0,0"/>
                    <o:lock v:ext="edit" aspectratio="t"/>
                  </v:shape>
                </v:group>
                <v:shape id="Freeform 33" o:spid="_x0000_s1038"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jTMQA&#10;AADbAAAADwAAAGRycy9kb3ducmV2LnhtbESPQWvCQBSE70L/w/IKvenGCkGiq9RKqz1qC3p8Zl+T&#10;tNm36e5qYn+9Kwgeh5n5hpnOO1OLEzlfWVYwHCQgiHOrKy4UfH2+9ccgfEDWWFsmBWfyMJ899KaY&#10;advyhk7bUIgIYZ+hgjKEJpPS5yUZ9APbEEfv2zqDIUpXSO2wjXBTy+ckSaXBiuNCiQ29lpT/bo9G&#10;wcfysOLR//B98fNXLJautbtRvVfq6bF7mYAI1IV7+NZeawVpCtcv8Q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z40zEAAAA2wAAAA8AAAAAAAAAAAAAAAAAmAIAAGRycy9k&#10;b3ducmV2LnhtbFBLBQYAAAAABAAEAPUAAACJAwAAAAA=&#10;" path="m1,251l,2662r4120,251l4120,,1,251xe" fillcolor="#d8d8d8 [2732]" stroked="f">
                  <v:path arrowok="t" o:connecttype="custom" o:connectlocs="1,251;0,2662;4120,2913;4120,0;1,251" o:connectangles="0,0,0,0,0"/>
                  <o:lock v:ext="edit" aspectratio="t"/>
                </v:shape>
                <v:shape id="Freeform 34" o:spid="_x0000_s1039"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CY8QA&#10;AADbAAAADwAAAGRycy9kb3ducmV2LnhtbESPwWrDMBBE74X+g9hCLyGR60OaOlFCMTU09FS7kOti&#10;bWwRa2UsxXb+vgoUehxm5g2zO8y2EyMN3jhW8LJKQBDXThtuFPxUxXIDwgdkjZ1jUnAjD4f948MO&#10;M+0m/qaxDI2IEPYZKmhD6DMpfd2SRb9yPXH0zm6wGKIcGqkHnCLcdjJNkrW0aDgutNhT3lJ9Ka9W&#10;wWxCVx7f0sK40+KjOhWL/Ot2Ver5aX7fggg0h//wX/tTK1i/wv1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pQmPEAAAA2wAAAA8AAAAAAAAAAAAAAAAAmAIAAGRycy9k&#10;b3ducmV2LnhtbFBLBQYAAAAABAAEAPUAAACJAwAAAAA=&#10;" path="m,l,4236,3985,3349r,-2428l,xe" fillcolor="#bfbfbf [2412]" stroked="f">
                  <v:path arrowok="t" o:connecttype="custom" o:connectlocs="0,0;0,4236;3985,3349;3985,921;0,0" o:connectangles="0,0,0,0,0"/>
                  <o:lock v:ext="edit" aspectratio="t"/>
                </v:shape>
                <v:shape id="Freeform 35" o:spid="_x0000_s1040"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3b70A&#10;AADbAAAADwAAAGRycy9kb3ducmV2LnhtbERPSwrCMBDdC94hjOBOUxVEqlFEFF0JfsDt0IxtaTOp&#10;TdTa05uF4PLx/otVY0rxotrllhWMhhEI4sTqnFMF18tuMAPhPLLG0jIp+JCD1bLbWWCs7ZtP9Dr7&#10;VIQQdjEqyLyvYildkpFBN7QVceDutjboA6xTqWt8h3BTynEUTaXBnENDhhVtMkqK89MoaG/2eJdV&#10;205u7a7YPh7F+rS/KtXvNes5CE+N/4t/7oNWMA1j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3J3b70AAADbAAAADwAAAAAAAAAAAAAAAACYAgAAZHJzL2Rvd25yZXYu&#10;eG1sUEsFBgAAAAAEAAQA9QAAAIIDAAAAAA==&#10;" path="m4086,r-2,4253l,3198,,1072,4086,xe" fillcolor="#d8d8d8 [2732]" stroked="f">
                  <v:path arrowok="t" o:connecttype="custom" o:connectlocs="4086,0;4084,4253;0,3198;0,1072;4086,0" o:connectangles="0,0,0,0,0"/>
                  <o:lock v:ext="edit" aspectratio="t"/>
                </v:shape>
                <v:shape id="Freeform 36" o:spid="_x0000_s1041"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g4MQA&#10;AADbAAAADwAAAGRycy9kb3ducmV2LnhtbESPzWrDMBCE74W8g9hALqaR49LQuFFCWggUfKob6HWx&#10;traJtTKS/JO3jwqFHoeZ+YbZH2fTiZGcby0r2KxTEMSV1S3XCi5f58cXED4ga+wsk4IbeTgeFg97&#10;zLWd+JPGMtQiQtjnqKAJoc+l9FVDBv3a9sTR+7HOYIjS1VI7nCLcdDJL06002HJcaLCn94aqazkY&#10;BeUO5+E5PY3lG12G5DspsuLJKbVazqdXEIHm8B/+a39oBdsd/H6JP0Ae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VYODEAAAA2wAAAA8AAAAAAAAAAAAAAAAAmAIAAGRycy9k&#10;b3ducmV2LnhtbFBLBQYAAAAABAAEAPUAAACJAwAAAAA=&#10;" path="m,921l2060,r16,3851l,2981,,921xe" fillcolor="#d3dfee [820]" stroked="f">
                  <v:fill opacity="46003f"/>
                  <v:path arrowok="t" o:connecttype="custom" o:connectlocs="0,921;2060,0;2076,3851;0,2981;0,921" o:connectangles="0,0,0,0,0"/>
                  <o:lock v:ext="edit" aspectratio="t"/>
                </v:shape>
                <v:shape id="Freeform 37" o:spid="_x0000_s1042"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X3cAA&#10;AADbAAAADwAAAGRycy9kb3ducmV2LnhtbERPy4rCMBTdC/5DuII7TRXxUY0iA4orcXyAy0tzbYvN&#10;TaeJtfr1ZjHg8nDei1VjClFT5XLLCgb9CARxYnXOqYLzadObgnAeWWNhmRS8yMFq2W4tMNb2yb9U&#10;H30qQgi7GBVk3pexlC7JyKDr25I4cDdbGfQBVqnUFT5DuCnkMIrG0mDOoSHDkn4ySu7Hh1FQF/tz&#10;Mx4MZ4ft3/V9o+llMuKNUt1Os56D8NT4r/jfvdMKJmF9+BJ+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0X3cAAAADbAAAADwAAAAAAAAAAAAAAAACYAgAAZHJzL2Rvd25y&#10;ZXYueG1sUEsFBgAAAAAEAAQA9QAAAIUDAAAAAA==&#10;" path="m,l17,3835,6011,2629r,-1390l,xe" fillcolor="#a7bfde [1620]" stroked="f">
                  <v:fill opacity="46003f"/>
                  <v:path arrowok="t" o:connecttype="custom" o:connectlocs="0,0;17,3835;6011,2629;6011,1239;0,0" o:connectangles="0,0,0,0,0"/>
                  <o:lock v:ext="edit" aspectratio="t"/>
                </v:shape>
                <v:shape id="Freeform 38" o:spid="_x0000_s1043"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tz8MA&#10;AADbAAAADwAAAGRycy9kb3ducmV2LnhtbESPwWrDMBBE74H+g9hCL6GRHYfWdaOYEijkkEuSfsBi&#10;bSQTa2Us1Xb/vgoUehxm5g2zrWfXiZGG0HpWkK8yEMSN1y0bBV+Xz+cSRIjIGjvPpOCHAtS7h8UW&#10;K+0nPtF4jkYkCIcKFdgY+0rK0FhyGFa+J07e1Q8OY5KDkXrAKcFdJ9dZ9iIdtpwWLPa0t9Tczt9O&#10;QYlyWfB1Hm/lCd2xeDO23xilnh7nj3cQkeb4H/5rH7SC1xzuX9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Itz8MAAADbAAAADwAAAAAAAAAAAAAAAACYAgAAZHJzL2Rv&#10;d25yZXYueG1sUEsFBgAAAAAEAAQA9QAAAIgDA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39" o:spid="_x0000_s1044" type="#_x0000_t202" style="position:absolute;left:423;top:13204;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9usMA&#10;AADbAAAADwAAAGRycy9kb3ducmV2LnhtbESPwW7CMBBE75X4B2uRuBWHHGgVMAiQQD3AobQfsIqX&#10;OBCvI9slCV+PK1XqcTQzbzTLdW8bcScfascKZtMMBHHpdM2Vgu+v/es7iBCRNTaOScFAAdar0csS&#10;C+06/qT7OVYiQTgUqMDE2BZShtKQxTB1LXHyLs5bjEn6SmqPXYLbRuZZNpcWa04LBlvaGSpv5x+r&#10;wD5mD39EtNfDkGPXDuZwOm6Vmoz7zQJEpD7+h//aH1rBWw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f9usMAAADbAAAADwAAAAAAAAAAAAAAAACYAgAAZHJzL2Rv&#10;d25yZXYueG1sUEsFBgAAAAAEAAQA9QAAAIgDAAAAAA==&#10;" filled="f" stroked="f">
                <v:textbox inset=",0,,0">
                  <w:txbxContent>
                    <w:p w:rsidR="007D6128" w:rsidRDefault="007D6128">
                      <w:pPr>
                        <w:jc w:val="center"/>
                        <w:rPr>
                          <w:color w:val="4F81BD" w:themeColor="accent1"/>
                        </w:rPr>
                      </w:pPr>
                      <w:r>
                        <w:fldChar w:fldCharType="begin"/>
                      </w:r>
                      <w:r>
                        <w:instrText xml:space="preserve"> PAGE   \* MERGEFORMAT </w:instrText>
                      </w:r>
                      <w:r>
                        <w:fldChar w:fldCharType="separate"/>
                      </w:r>
                      <w:r w:rsidR="00E91264" w:rsidRPr="00E91264">
                        <w:rPr>
                          <w:noProof/>
                          <w:color w:val="4F81BD" w:themeColor="accent1"/>
                        </w:rPr>
                        <w:t>36</w:t>
                      </w:r>
                      <w:r>
                        <w:rPr>
                          <w:noProof/>
                          <w:color w:val="4F81BD" w:themeColor="accent1"/>
                        </w:rPr>
                        <w:fldChar w:fldCharType="end"/>
                      </w:r>
                    </w:p>
                    <w:p w:rsidR="007D6128" w:rsidRDefault="007D6128"/>
                  </w:txbxContent>
                </v:textbox>
              </v:shape>
              <w10:wrap anchorx="margin" anchory="margin"/>
            </v:group>
          </w:pict>
        </mc:Fallback>
      </mc:AlternateContent>
    </w:r>
    <w:r w:rsidR="007D6128">
      <w:rPr>
        <w:color w:val="7F7F7F" w:themeColor="background1" w:themeShade="7F"/>
      </w:rPr>
      <w:t xml:space="preserve"> | </w:t>
    </w:r>
    <w:sdt>
      <w:sdtPr>
        <w:rPr>
          <w:color w:val="7F7F7F" w:themeColor="background1" w:themeShade="7F"/>
        </w:rPr>
        <w:alias w:val="Address"/>
        <w:id w:val="76117950"/>
        <w:placeholder>
          <w:docPart w:val="3FE4C9DCEC6C4C21BB4E1330C1D5590A"/>
        </w:placeholder>
        <w:dataBinding w:prefixMappings="xmlns:ns0='http://schemas.microsoft.com/office/2006/coverPageProps'" w:xpath="/ns0:CoverPageProperties[1]/ns0:CompanyAddress[1]" w:storeItemID="{55AF091B-3C7A-41E3-B477-F2FDAA23CFDA}"/>
        <w:text w:multiLine="1"/>
      </w:sdtPr>
      <w:sdtEndPr/>
      <w:sdtContent>
        <w:r w:rsidR="007D6128">
          <w:rPr>
            <w:color w:val="7F7F7F" w:themeColor="background1" w:themeShade="7F"/>
          </w:rPr>
          <w:t>Shelby County Rural Roadways Safety Audit Assistance Program</w:t>
        </w:r>
      </w:sdtContent>
    </w:sdt>
  </w:p>
  <w:p w:rsidR="007D6128" w:rsidRDefault="007D61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128" w:rsidRDefault="00E91264">
    <w:pPr>
      <w:pStyle w:val="Footer"/>
      <w:pBdr>
        <w:top w:val="single" w:sz="4" w:space="1" w:color="A5A5A5" w:themeColor="background1" w:themeShade="A5"/>
      </w:pBdr>
      <w:jc w:val="right"/>
      <w:rPr>
        <w:color w:val="7F7F7F" w:themeColor="background1" w:themeShade="7F"/>
      </w:rPr>
    </w:pPr>
    <w:sdt>
      <w:sdtPr>
        <w:rPr>
          <w:noProof/>
          <w:color w:val="7F7F7F" w:themeColor="background1" w:themeShade="7F"/>
        </w:rPr>
        <w:alias w:val="Company"/>
        <w:id w:val="76161118"/>
        <w:dataBinding w:prefixMappings="xmlns:ns0='http://schemas.openxmlformats.org/officeDocument/2006/extended-properties'" w:xpath="/ns0:Properties[1]/ns0:Company[1]" w:storeItemID="{6668398D-A668-4E3E-A5EB-62B293D839F1}"/>
        <w:text/>
      </w:sdtPr>
      <w:sdtEndPr/>
      <w:sdtContent>
        <w:r w:rsidR="007D6128">
          <w:rPr>
            <w:noProof/>
            <w:color w:val="7F7F7F" w:themeColor="background1" w:themeShade="7F"/>
          </w:rPr>
          <w:t>Ohio LTAP Center</w:t>
        </w:r>
      </w:sdtContent>
    </w:sdt>
    <w:r w:rsidR="007D6128">
      <w:rPr>
        <w:noProof/>
        <w:color w:val="7F7F7F" w:themeColor="background1" w:themeShade="7F"/>
      </w:rPr>
      <mc:AlternateContent>
        <mc:Choice Requires="wpg">
          <w:drawing>
            <wp:anchor distT="0" distB="0" distL="114300" distR="114300" simplePos="0" relativeHeight="251660288" behindDoc="0" locked="0" layoutInCell="0" allowOverlap="1" wp14:anchorId="4116A272" wp14:editId="1C62C91B">
              <wp:simplePos x="0" y="0"/>
              <wp:positionH relativeFrom="rightMargin">
                <wp:align>center</wp:align>
              </wp:positionH>
              <mc:AlternateContent>
                <mc:Choice Requires="wp14">
                  <wp:positionV relativeFrom="margin">
                    <wp14:pctPosVOffset>90000</wp14:pctPosVOffset>
                  </wp:positionV>
                </mc:Choice>
                <mc:Fallback>
                  <wp:positionV relativeFrom="page">
                    <wp:posOffset>8286750</wp:posOffset>
                  </wp:positionV>
                </mc:Fallback>
              </mc:AlternateContent>
              <wp:extent cx="400050" cy="615950"/>
              <wp:effectExtent l="9525" t="1270" r="1905" b="1905"/>
              <wp:wrapNone/>
              <wp:docPr id="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615950"/>
                        <a:chOff x="10717" y="13296"/>
                        <a:chExt cx="1162" cy="970"/>
                      </a:xfrm>
                    </wpg:grpSpPr>
                    <wpg:grpSp>
                      <wpg:cNvPr id="23" name="Group 15"/>
                      <wpg:cNvGrpSpPr>
                        <a:grpSpLocks noChangeAspect="1"/>
                      </wpg:cNvGrpSpPr>
                      <wpg:grpSpPr bwMode="auto">
                        <a:xfrm>
                          <a:off x="10717" y="13815"/>
                          <a:ext cx="1162" cy="451"/>
                          <a:chOff x="-6" y="3399"/>
                          <a:chExt cx="12197" cy="4253"/>
                        </a:xfrm>
                      </wpg:grpSpPr>
                      <wpg:grpSp>
                        <wpg:cNvPr id="24" name="Group 16"/>
                        <wpg:cNvGrpSpPr>
                          <a:grpSpLocks noChangeAspect="1"/>
                        </wpg:cNvGrpSpPr>
                        <wpg:grpSpPr bwMode="auto">
                          <a:xfrm>
                            <a:off x="-6" y="3717"/>
                            <a:ext cx="12189" cy="3550"/>
                            <a:chOff x="18" y="7468"/>
                            <a:chExt cx="12189" cy="3550"/>
                          </a:xfrm>
                        </wpg:grpSpPr>
                        <wps:wsp>
                          <wps:cNvPr id="25" name="Freeform 17"/>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8"/>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9"/>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 name="Freeform 20"/>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1"/>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2"/>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3"/>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4"/>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5"/>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9" name="Text Box 26"/>
                      <wps:cNvSpPr txBox="1">
                        <a:spLocks noChangeArrowheads="1"/>
                      </wps:cNvSpPr>
                      <wps:spPr bwMode="auto">
                        <a:xfrm>
                          <a:off x="10821" y="13296"/>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128" w:rsidRDefault="007D6128">
                            <w:pPr>
                              <w:jc w:val="center"/>
                              <w:rPr>
                                <w:color w:val="4F81BD" w:themeColor="accent1"/>
                              </w:rPr>
                            </w:pPr>
                            <w:r>
                              <w:fldChar w:fldCharType="begin"/>
                            </w:r>
                            <w:r>
                              <w:instrText xml:space="preserve"> PAGE   \* MERGEFORMAT </w:instrText>
                            </w:r>
                            <w:r>
                              <w:fldChar w:fldCharType="separate"/>
                            </w:r>
                            <w:r w:rsidR="00E91264" w:rsidRPr="00E91264">
                              <w:rPr>
                                <w:noProof/>
                                <w:color w:val="4F81BD" w:themeColor="accent1"/>
                              </w:rPr>
                              <w:t>3</w:t>
                            </w:r>
                            <w:r>
                              <w:rPr>
                                <w:noProof/>
                                <w:color w:val="4F81BD" w:themeColor="accent1"/>
                              </w:rPr>
                              <w:fldChar w:fldCharType="end"/>
                            </w:r>
                          </w:p>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id="Group 14" o:spid="_x0000_s1045" style="position:absolute;left:0;text-align:left;margin-left:0;margin-top:0;width:31.5pt;height:48.5pt;z-index:251660288;mso-width-percent:800;mso-top-percent:900;mso-position-horizontal:center;mso-position-horizontal-relative:right-margin-area;mso-position-vertical-relative:margin;mso-width-percent:800;mso-top-percent:900;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" o:allowincell="f">
              <v:group id="Group 15" o:spid="_x0000_s1046" style="position:absolute;left:10717;top:13815;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group id="Group 16" o:spid="_x0000_s104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 id="Freeform 17" o:spid="_x0000_s104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Xj28QA&#10;AADbAAAADwAAAGRycy9kb3ducmV2LnhtbESPT2vCQBTE74LfYXmCN90oKDW6ShD805tJbcHbI/ua&#10;pGbfhuwa02/fLRR6HGbmN8xm15tadNS6yrKC2TQCQZxbXXGh4Pp2mLyAcB5ZY22ZFHyTg912ONhg&#10;rO2TU+oyX4gAYRejgtL7JpbS5SUZdFPbEAfv07YGfZBtIXWLzwA3tZxH0VIarDgslNjQvqT8nj2M&#10;gjTq3y/L40l/feSuWyWXW5Ymr0qNR32yBuGp9//hv/ZZK5gv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49vEAAAA2wAAAA8AAAAAAAAAAAAAAAAAmAIAAGRycy9k&#10;b3ducmV2LnhtbFBLBQYAAAAABAAEAPUAAACJAwAAAAA=&#10;" path="m,l17,2863,7132,2578r,-2378l,xe" fillcolor="#a7bfde [1620]" stroked="f">
                    <v:fill opacity="32896f"/>
                    <v:path arrowok="t" o:connecttype="custom" o:connectlocs="0,0;17,2863;7132,2578;7132,200;0,0" o:connectangles="0,0,0,0,0"/>
                    <o:lock v:ext="edit" aspectratio="t"/>
                  </v:shape>
                  <v:shape id="Freeform 18" o:spid="_x0000_s104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WMsQA&#10;AADbAAAADwAAAGRycy9kb3ducmV2LnhtbESPT4vCMBTE74LfITxhb5qqKNI1LYu4IJ7WPyB7ezTP&#10;tmvzUppo6356Iwgeh5n5DbNMO1OJGzWutKxgPIpAEGdWl5wrOB6+hwsQziNrrCyTgjs5SJN+b4mx&#10;ti3v6Lb3uQgQdjEqKLyvYyldVpBBN7I1cfDOtjHog2xyqRtsA9xUchJFc2mw5LBQYE2rgrLL/moU&#10;/P1OkTu32k7X/z8tXmfHzfl0Uepj0H19gvDU+Xf41d5oBZM5PL+EH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yVjLEAAAA2wAAAA8AAAAAAAAAAAAAAAAAmAIAAGRycy9k&#10;b3ducmV2LnhtbFBLBQYAAAAABAAEAPUAAACJAwAAAAA=&#10;" path="m,569l,2930r3466,620l3466,,,569xe" fillcolor="#d3dfee [820]" stroked="f">
                    <v:fill opacity="32896f"/>
                    <v:path arrowok="t" o:connecttype="custom" o:connectlocs="0,569;0,2930;3466,3550;3466,0;0,569" o:connectangles="0,0,0,0,0"/>
                    <o:lock v:ext="edit" aspectratio="t"/>
                  </v:shape>
                  <v:shape id="Freeform 19" o:spid="_x0000_s105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QP8MA&#10;AADbAAAADwAAAGRycy9kb3ducmV2LnhtbESPQWvCQBSE70L/w/IKvenGVIvEbEQKQq+mYq/P7DNZ&#10;zL5Ns2tM/fVuodDjMDPfMPlmtK0YqPfGsYL5LAFBXDltuFZw+NxNVyB8QNbYOiYFP+RhUzxNcsy0&#10;u/GehjLUIkLYZ6igCaHLpPRVQxb9zHXE0Tu73mKIsq+l7vEW4baVaZK8SYuG40KDHb03VF3Kq1VA&#10;29f797L8Op3m5nisukNqFoNV6uV53K5BBBrDf/iv/aEVLFP4/RJ/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rQP8MAAADbAAAADwAAAAAAAAAAAAAAAACYAgAAZHJzL2Rv&#10;d25yZXYueG1sUEsFBgAAAAAEAAQA9QAAAIgDAAAAAA==&#10;" path="m,l,3550,1591,2746r,-2009l,xe" fillcolor="#a7bfde [1620]" stroked="f">
                    <v:fill opacity="32896f"/>
                    <v:path arrowok="t" o:connecttype="custom" o:connectlocs="0,0;0,3550;1591,2746;1591,737;0,0" o:connectangles="0,0,0,0,0"/>
                    <o:lock v:ext="edit" aspectratio="t"/>
                  </v:shape>
                </v:group>
                <v:shape id="Freeform 20" o:spid="_x0000_s105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KacUA&#10;AADbAAAADwAAAGRycy9kb3ducmV2LnhtbESPzU7DMBCE70i8g7VI3KhTolYo1IkoFdAe+yO1xyVe&#10;kkC8DrZpUp6+RqrEcTQz32hmxWBacSTnG8sKxqMEBHFpdcOVgt325e4BhA/IGlvLpOBEHor8+mqG&#10;mbY9r+m4CZWIEPYZKqhD6DIpfVmTQT+yHXH0PqwzGKJ0ldQO+wg3rbxPkqk02HBcqLGj55rKr82P&#10;UbBavL9x+jt+nX9+V/OF6+0+bQ9K3d4MT48gAg3hP3xpL7WCSQp/X+IPk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IppxQAAANsAAAAPAAAAAAAAAAAAAAAAAJgCAABkcnMv&#10;ZG93bnJldi54bWxQSwUGAAAAAAQABAD1AAAAigMAAAAA&#10;" path="m1,251l,2662r4120,251l4120,,1,251xe" fillcolor="#d8d8d8 [2732]" stroked="f">
                  <v:path arrowok="t" o:connecttype="custom" o:connectlocs="1,251;0,2662;4120,2913;4120,0;1,251" o:connectangles="0,0,0,0,0"/>
                  <o:lock v:ext="edit" aspectratio="t"/>
                </v:shape>
                <v:shape id="Freeform 21" o:spid="_x0000_s105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WqcUA&#10;AADbAAAADwAAAGRycy9kb3ducmV2LnhtbESPzWrDMBCE74G+g9hCLyGRa5qSOlFCCTU09BSnkOti&#10;bW0Ra2UsxT9vXxUCPQ4z8w2z3Y+2ET113jhW8LxMQBCXThuuFHyf88UahA/IGhvHpGAiD/vdw2yL&#10;mXYDn6gvQiUihH2GCuoQ2kxKX9Zk0S9dSxy9H9dZDFF2ldQdDhFuG5kmyau0aDgu1NjSoabyWtys&#10;gtGEpji+pblxl/nH+ZLPD1/TTamnx/F9AyLQGP7D9/anVrB6gb8v8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xapxQAAANsAAAAPAAAAAAAAAAAAAAAAAJgCAABkcnMv&#10;ZG93bnJldi54bWxQSwUGAAAAAAQABAD1AAAAigMAAAAA&#10;" path="m,l,4236,3985,3349r,-2428l,xe" fillcolor="#bfbfbf [2412]" stroked="f">
                  <v:path arrowok="t" o:connecttype="custom" o:connectlocs="0,0;0,4236;3985,3349;3985,921;0,0" o:connectangles="0,0,0,0,0"/>
                  <o:lock v:ext="edit" aspectratio="t"/>
                </v:shape>
                <v:shape id="Freeform 22" o:spid="_x0000_s105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STMQA&#10;AADbAAAADwAAAGRycy9kb3ducmV2LnhtbESPQWvCQBSE74L/YXlCb7qxJUWiq4g01FMhKnh9ZJ9J&#10;SPZtkt1qzK/vFgo9DjPzDbPZDaYRd+pdZVnBchGBIM6trrhQcDmn8xUI55E1NpZJwZMc7LbTyQYT&#10;bR+c0f3kCxEg7BJUUHrfJlK6vCSDbmFb4uDdbG/QB9kXUvf4CHDTyNcoepcGKw4LJbZ0KCmvT99G&#10;wXi1XzfZjuPbdUzrj66r99nnRamX2bBfg/A0+P/wX/uoFcQx/H4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fEkzEAAAA2wAAAA8AAAAAAAAAAAAAAAAAmAIAAGRycy9k&#10;b3ducmV2LnhtbFBLBQYAAAAABAAEAPUAAACJAwAAAAA=&#10;" path="m4086,r-2,4253l,3198,,1072,4086,xe" fillcolor="#d8d8d8 [2732]" stroked="f">
                  <v:path arrowok="t" o:connecttype="custom" o:connectlocs="4086,0;4084,4253;0,3198;0,1072;4086,0" o:connectangles="0,0,0,0,0"/>
                  <o:lock v:ext="edit" aspectratio="t"/>
                </v:shape>
                <v:shape id="Freeform 23" o:spid="_x0000_s105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L8IA&#10;AADbAAAADwAAAGRycy9kb3ducmV2LnhtbESPQYvCMBSE7wv+h/AEL6KpiqLVKCoIC562K+z10Tzb&#10;YvNSkrTWf78RFvY4zMw3zO7Qm1p05HxlWcFsmoAgzq2uuFBw+75M1iB8QNZYWyYFL/Jw2A8+dphq&#10;++Qv6rJQiAhhn6KCMoQmldLnJRn0U9sQR+9uncEQpSukdviMcFPLeZKspMGK40KJDZ1Lyh9ZaxRk&#10;G+zbZXLsshPd2vHP+Dq/LpxSo2F/3III1If/8F/7UytYruD9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j4vwgAAANsAAAAPAAAAAAAAAAAAAAAAAJgCAABkcnMvZG93&#10;bnJldi54bWxQSwUGAAAAAAQABAD1AAAAhwMAAAAA&#10;" path="m,921l2060,r16,3851l,2981,,921xe" fillcolor="#d3dfee [820]" stroked="f">
                  <v:fill opacity="46003f"/>
                  <v:path arrowok="t" o:connecttype="custom" o:connectlocs="0,921;2060,0;2076,3851;0,2981;0,921" o:connectangles="0,0,0,0,0"/>
                  <o:lock v:ext="edit" aspectratio="t"/>
                </v:shape>
                <v:shape id="Freeform 24" o:spid="_x0000_s105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TycQA&#10;AADbAAAADwAAAGRycy9kb3ducmV2LnhtbESPS4vCQBCE74L/YWjBm04U10d0FBFc9rT4BI9Npk2C&#10;mZ6YGWN2f/3OguCxqKqvqMWqMYWoqXK5ZQWDfgSCOLE651TB6bjtTUE4j6yxsEwKfsjBatluLTDW&#10;9sl7qg8+FQHCLkYFmfdlLKVLMjLo+rYkDt7VVgZ9kFUqdYXPADeFHEbRWBrMOSxkWNImo+R2eBgF&#10;dfF9asaD4Wz3eb/8Xml6nox4q1S306znIDw1/h1+tb+0go8J/H8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08nEAAAA2wAAAA8AAAAAAAAAAAAAAAAAmAIAAGRycy9k&#10;b3ducmV2LnhtbFBLBQYAAAAABAAEAPUAAACJAwAAAAA=&#10;" path="m,l17,3835,6011,2629r,-1390l,xe" fillcolor="#a7bfde [1620]" stroked="f">
                  <v:fill opacity="46003f"/>
                  <v:path arrowok="t" o:connecttype="custom" o:connectlocs="0,0;17,3835;6011,2629;6011,1239;0,0" o:connectangles="0,0,0,0,0"/>
                  <o:lock v:ext="edit" aspectratio="t"/>
                </v:shape>
                <v:shape id="Freeform 25" o:spid="_x0000_s105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3YMsAA&#10;AADbAAAADwAAAGRycy9kb3ducmV2LnhtbERPS2rDMBDdB3oHMYVuQiO3TovjRDalEOgimzg9wGBN&#10;JBNrZCzVdm9fLQJdPt7/UC+uFxONofOs4GWTgSBuve7YKPi+HJ8LECEia+w9k4JfClBXD6sDltrP&#10;fKapiUakEA4lKrAxDqWUobXkMGz8QJy4qx8dxgRHI/WIcwp3vXzNsnfpsOPUYHGgT0vtrflxCgqU&#10;65yvy3QrzuhO+c7YYWuUenpcPvYgIi3xX3x3f2kFb2ls+pJ+gK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3YMsAAAADbAAAADwAAAAAAAAAAAAAAAACYAgAAZHJzL2Rvd25y&#10;ZXYueG1sUEsFBgAAAAAEAAQA9QAAAIUDA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26" o:spid="_x0000_s1057" type="#_x0000_t202" style="position:absolute;left:10821;top:13296;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zq8QA&#10;AADbAAAADwAAAGRycy9kb3ducmV2LnhtbESPQWvCQBSE7wX/w/IEb3UToaVNXYMWKh70UO0PeGRf&#10;s9Hs27C7NYm/visUehxm5htmWQ62FVfyoXGsIJ9nIIgrpxuuFXydPh5fQISIrLF1TApGClCuJg9L&#10;LLTr+ZOux1iLBOFQoAITY1dIGSpDFsPcdcTJ+3beYkzS11J77BPctnKRZc/SYsNpwWBH74aqy/HH&#10;KrC3/Ob3iPa8HRfYd6PZHvYbpWbTYf0GItIQ/8N/7Z1W8PQK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WM6vEAAAA2wAAAA8AAAAAAAAAAAAAAAAAmAIAAGRycy9k&#10;b3ducmV2LnhtbFBLBQYAAAAABAAEAPUAAACJAwAAAAA=&#10;" filled="f" stroked="f">
                <v:textbox inset=",0,,0">
                  <w:txbxContent>
                    <w:p w:rsidR="007D6128" w:rsidRDefault="007D6128">
                      <w:pPr>
                        <w:jc w:val="center"/>
                        <w:rPr>
                          <w:color w:val="4F81BD" w:themeColor="accent1"/>
                        </w:rPr>
                      </w:pPr>
                      <w:r>
                        <w:fldChar w:fldCharType="begin"/>
                      </w:r>
                      <w:r>
                        <w:instrText xml:space="preserve"> PAGE   \* MERGEFORMAT </w:instrText>
                      </w:r>
                      <w:r>
                        <w:fldChar w:fldCharType="separate"/>
                      </w:r>
                      <w:r w:rsidR="00E91264" w:rsidRPr="00E91264">
                        <w:rPr>
                          <w:noProof/>
                          <w:color w:val="4F81BD" w:themeColor="accent1"/>
                        </w:rPr>
                        <w:t>3</w:t>
                      </w:r>
                      <w:r>
                        <w:rPr>
                          <w:noProof/>
                          <w:color w:val="4F81BD" w:themeColor="accent1"/>
                        </w:rPr>
                        <w:fldChar w:fldCharType="end"/>
                      </w:r>
                    </w:p>
                  </w:txbxContent>
                </v:textbox>
              </v:shape>
              <w10:wrap anchorx="margin" anchory="margin"/>
            </v:group>
          </w:pict>
        </mc:Fallback>
      </mc:AlternateContent>
    </w:r>
    <w:r w:rsidR="007D6128">
      <w:rPr>
        <w:color w:val="7F7F7F" w:themeColor="background1" w:themeShade="7F"/>
      </w:rPr>
      <w:t xml:space="preserve"> | </w:t>
    </w:r>
    <w:sdt>
      <w:sdtPr>
        <w:rPr>
          <w:color w:val="7F7F7F" w:themeColor="background1" w:themeShade="7F"/>
        </w:rPr>
        <w:alias w:val="Address"/>
        <w:id w:val="76161122"/>
        <w:dataBinding w:prefixMappings="xmlns:ns0='http://schemas.microsoft.com/office/2006/coverPageProps'" w:xpath="/ns0:CoverPageProperties[1]/ns0:CompanyAddress[1]" w:storeItemID="{55AF091B-3C7A-41E3-B477-F2FDAA23CFDA}"/>
        <w:text w:multiLine="1"/>
      </w:sdtPr>
      <w:sdtEndPr/>
      <w:sdtContent>
        <w:r w:rsidR="007D6128">
          <w:rPr>
            <w:color w:val="7F7F7F" w:themeColor="background1" w:themeShade="7F"/>
          </w:rPr>
          <w:t>Shelby County Rural Roadways Safety Audit Assistance Program</w:t>
        </w:r>
      </w:sdtContent>
    </w:sdt>
  </w:p>
  <w:p w:rsidR="007D6128" w:rsidRDefault="007D61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128" w:rsidRDefault="007D6128" w:rsidP="00F20EE6">
      <w:pPr>
        <w:spacing w:after="0" w:line="240" w:lineRule="auto"/>
      </w:pPr>
      <w:r>
        <w:separator/>
      </w:r>
    </w:p>
  </w:footnote>
  <w:footnote w:type="continuationSeparator" w:id="0">
    <w:p w:rsidR="007D6128" w:rsidRDefault="007D6128" w:rsidP="00F20EE6">
      <w:pPr>
        <w:spacing w:after="0" w:line="240" w:lineRule="auto"/>
      </w:pPr>
      <w:r>
        <w:continuationSeparator/>
      </w:r>
    </w:p>
  </w:footnote>
  <w:footnote w:id="1">
    <w:p w:rsidR="007D6128" w:rsidRDefault="007D6128" w:rsidP="00F20EE6">
      <w:pPr>
        <w:pStyle w:val="FootnoteText"/>
      </w:pPr>
      <w:r>
        <w:rPr>
          <w:rStyle w:val="FootnoteReference"/>
        </w:rPr>
        <w:footnoteRef/>
      </w:r>
      <w:r>
        <w:t xml:space="preserve"> 23 CFR 148 (a)(1)(A)</w:t>
      </w:r>
    </w:p>
  </w:footnote>
  <w:footnote w:id="2">
    <w:p w:rsidR="007D6128" w:rsidRDefault="007D6128">
      <w:pPr>
        <w:pStyle w:val="FootnoteText"/>
      </w:pPr>
      <w:r>
        <w:rPr>
          <w:rStyle w:val="FootnoteReference"/>
        </w:rPr>
        <w:footnoteRef/>
      </w:r>
      <w:r>
        <w:t xml:space="preserve"> Targeted corridors were selected based upon raking in the top 100 high risk rural roads from calendar year 2006 to 2010.</w:t>
      </w:r>
    </w:p>
  </w:footnote>
  <w:footnote w:id="3">
    <w:p w:rsidR="007D6128" w:rsidRDefault="007D6128" w:rsidP="00F20EE6">
      <w:pPr>
        <w:pStyle w:val="FootnoteText"/>
      </w:pPr>
      <w:r>
        <w:rPr>
          <w:rStyle w:val="FootnoteReference"/>
        </w:rPr>
        <w:footnoteRef/>
      </w:r>
      <w:r>
        <w:t xml:space="preserve"> 23 USC 120 and 23 USC 130 </w:t>
      </w:r>
      <w:proofErr w:type="gramStart"/>
      <w:r>
        <w:t>provide</w:t>
      </w:r>
      <w:proofErr w:type="gramEnd"/>
      <w:r>
        <w:t xml:space="preserve"> guidance on what may be funded at 100% under the High Risk Rural Roads program.</w:t>
      </w:r>
    </w:p>
  </w:footnote>
  <w:footnote w:id="4">
    <w:p w:rsidR="007D6128" w:rsidRDefault="007D6128">
      <w:pPr>
        <w:pStyle w:val="FootnoteText"/>
      </w:pPr>
      <w:r>
        <w:rPr>
          <w:rStyle w:val="FootnoteReference"/>
        </w:rPr>
        <w:footnoteRef/>
      </w:r>
      <w:r>
        <w:t xml:space="preserve"> </w:t>
      </w:r>
      <w:r w:rsidRPr="00C5593E">
        <w:rPr>
          <w:i/>
        </w:rPr>
        <w:t>Total crash rate times (severity cost divided by crash type cost) times total crashes equals the Hazard Value 1 (HV1)</w:t>
      </w:r>
    </w:p>
  </w:footnote>
  <w:footnote w:id="5">
    <w:p w:rsidR="007D6128" w:rsidRDefault="007D6128" w:rsidP="00850FB5">
      <w:pPr>
        <w:pStyle w:val="FootnoteText"/>
      </w:pPr>
      <w:r>
        <w:rPr>
          <w:rStyle w:val="FootnoteReference"/>
        </w:rPr>
        <w:footnoteRef/>
      </w:r>
      <w:r>
        <w:t xml:space="preserve"> </w:t>
      </w:r>
      <w:r w:rsidRPr="00C5593E">
        <w:rPr>
          <w:i/>
        </w:rPr>
        <w:t>Total crash rate times (severity cost divided by crash type cost) times total crashes equals the Hazard Value 1 (HV1)</w:t>
      </w:r>
    </w:p>
  </w:footnote>
  <w:footnote w:id="6">
    <w:p w:rsidR="007D6128" w:rsidRDefault="007D6128" w:rsidP="00210525">
      <w:pPr>
        <w:pStyle w:val="FootnoteText"/>
      </w:pPr>
      <w:r>
        <w:rPr>
          <w:rStyle w:val="FootnoteReference"/>
        </w:rPr>
        <w:footnoteRef/>
      </w:r>
      <w:r>
        <w:t xml:space="preserve"> </w:t>
      </w:r>
      <w:r w:rsidRPr="00C5593E">
        <w:rPr>
          <w:i/>
        </w:rPr>
        <w:t>Total crash rate times (severity cost divided by crash type cost) times total crashes equals the Hazard Value 1 (HV1)</w:t>
      </w:r>
    </w:p>
  </w:footnote>
  <w:footnote w:id="7">
    <w:p w:rsidR="007D6128" w:rsidRDefault="007D6128" w:rsidP="00757E1F">
      <w:pPr>
        <w:pStyle w:val="FootnoteText"/>
      </w:pPr>
      <w:r>
        <w:rPr>
          <w:rStyle w:val="FootnoteReference"/>
        </w:rPr>
        <w:footnoteRef/>
      </w:r>
      <w:r>
        <w:t xml:space="preserve"> </w:t>
      </w:r>
      <w:r w:rsidRPr="00C5593E">
        <w:rPr>
          <w:i/>
        </w:rPr>
        <w:t>Total crash rate times (severity cost divided by crash type cost) times total crashes equals the Hazard Value 1 (HV1)</w:t>
      </w:r>
    </w:p>
  </w:footnote>
  <w:footnote w:id="8">
    <w:p w:rsidR="007D6128" w:rsidRDefault="007D6128" w:rsidP="000C30F1">
      <w:pPr>
        <w:pStyle w:val="FootnoteText"/>
      </w:pPr>
      <w:r>
        <w:rPr>
          <w:rStyle w:val="FootnoteReference"/>
        </w:rPr>
        <w:footnoteRef/>
      </w:r>
      <w:r>
        <w:t xml:space="preserve"> </w:t>
      </w:r>
      <w:r w:rsidRPr="00C5593E">
        <w:rPr>
          <w:i/>
        </w:rPr>
        <w:t>Total crash rate times (severity cost divided by crash type cost) times total crashes equals the Hazard Value 1 (HV1)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91C31"/>
    <w:multiLevelType w:val="hybridMultilevel"/>
    <w:tmpl w:val="7D9C29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246979AB"/>
    <w:multiLevelType w:val="hybridMultilevel"/>
    <w:tmpl w:val="33CC63C4"/>
    <w:lvl w:ilvl="0" w:tplc="04090001">
      <w:start w:val="1"/>
      <w:numFmt w:val="bullet"/>
      <w:lvlText w:val=""/>
      <w:lvlJc w:val="left"/>
      <w:pPr>
        <w:ind w:left="720" w:hanging="360"/>
      </w:pPr>
      <w:rPr>
        <w:rFonts w:ascii="Symbol" w:hAnsi="Symbol" w:hint="default"/>
        <w:color w:val="auto"/>
        <w:sz w:val="22"/>
      </w:rPr>
    </w:lvl>
    <w:lvl w:ilvl="1" w:tplc="5770F1DE">
      <w:start w:val="1"/>
      <w:numFmt w:val="bullet"/>
      <w:lvlText w:val=""/>
      <w:lvlJc w:val="left"/>
      <w:pPr>
        <w:ind w:left="1440" w:hanging="360"/>
      </w:pPr>
      <w:rPr>
        <w:rFonts w:ascii="Wingdings" w:hAnsi="Wingdings" w:hint="default"/>
        <w:color w:val="auto"/>
      </w:rPr>
    </w:lvl>
    <w:lvl w:ilvl="2" w:tplc="CDB2A29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B60301"/>
    <w:multiLevelType w:val="hybridMultilevel"/>
    <w:tmpl w:val="C0642FCC"/>
    <w:lvl w:ilvl="0" w:tplc="04090011">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
    <w:nsid w:val="47374FC2"/>
    <w:multiLevelType w:val="hybridMultilevel"/>
    <w:tmpl w:val="27C65A8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2AD786F"/>
    <w:multiLevelType w:val="hybridMultilevel"/>
    <w:tmpl w:val="26667E1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67FED"/>
    <w:multiLevelType w:val="hybridMultilevel"/>
    <w:tmpl w:val="151C1B8A"/>
    <w:lvl w:ilvl="0" w:tplc="38FED5B4">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2F03FE"/>
    <w:multiLevelType w:val="hybridMultilevel"/>
    <w:tmpl w:val="C1963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38586A"/>
    <w:multiLevelType w:val="hybridMultilevel"/>
    <w:tmpl w:val="4B848E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80087F"/>
    <w:multiLevelType w:val="hybridMultilevel"/>
    <w:tmpl w:val="5B5EAF68"/>
    <w:lvl w:ilvl="0" w:tplc="B8FE56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A47F2E"/>
    <w:multiLevelType w:val="hybridMultilevel"/>
    <w:tmpl w:val="99B2D2D4"/>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
    <w:nsid w:val="7EA97FAC"/>
    <w:multiLevelType w:val="hybridMultilevel"/>
    <w:tmpl w:val="8BE0B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F771AD"/>
    <w:multiLevelType w:val="hybridMultilevel"/>
    <w:tmpl w:val="9A680C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9"/>
  </w:num>
  <w:num w:numId="4">
    <w:abstractNumId w:val="2"/>
  </w:num>
  <w:num w:numId="5">
    <w:abstractNumId w:val="0"/>
  </w:num>
  <w:num w:numId="6">
    <w:abstractNumId w:val="4"/>
  </w:num>
  <w:num w:numId="7">
    <w:abstractNumId w:val="8"/>
  </w:num>
  <w:num w:numId="8">
    <w:abstractNumId w:val="11"/>
  </w:num>
  <w:num w:numId="9">
    <w:abstractNumId w:val="10"/>
  </w:num>
  <w:num w:numId="10">
    <w:abstractNumId w:val="6"/>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CCB"/>
    <w:rsid w:val="00001E52"/>
    <w:rsid w:val="00003C14"/>
    <w:rsid w:val="00004E21"/>
    <w:rsid w:val="00006B84"/>
    <w:rsid w:val="00006DBA"/>
    <w:rsid w:val="000107B6"/>
    <w:rsid w:val="00011B15"/>
    <w:rsid w:val="00012DBF"/>
    <w:rsid w:val="00012E6C"/>
    <w:rsid w:val="000134C1"/>
    <w:rsid w:val="000167CC"/>
    <w:rsid w:val="00017725"/>
    <w:rsid w:val="00017A3F"/>
    <w:rsid w:val="00021BAF"/>
    <w:rsid w:val="00024443"/>
    <w:rsid w:val="00026267"/>
    <w:rsid w:val="00026F97"/>
    <w:rsid w:val="000277E9"/>
    <w:rsid w:val="000278BC"/>
    <w:rsid w:val="0003106B"/>
    <w:rsid w:val="00031161"/>
    <w:rsid w:val="0003152F"/>
    <w:rsid w:val="00035B7A"/>
    <w:rsid w:val="00036A94"/>
    <w:rsid w:val="0003753B"/>
    <w:rsid w:val="000378D5"/>
    <w:rsid w:val="00040914"/>
    <w:rsid w:val="0004152A"/>
    <w:rsid w:val="00043157"/>
    <w:rsid w:val="00043A38"/>
    <w:rsid w:val="00044E45"/>
    <w:rsid w:val="00045343"/>
    <w:rsid w:val="00046620"/>
    <w:rsid w:val="000477C4"/>
    <w:rsid w:val="00047B68"/>
    <w:rsid w:val="00050421"/>
    <w:rsid w:val="00050566"/>
    <w:rsid w:val="0005527E"/>
    <w:rsid w:val="000607D4"/>
    <w:rsid w:val="00062A68"/>
    <w:rsid w:val="00063023"/>
    <w:rsid w:val="00063E18"/>
    <w:rsid w:val="00065BA0"/>
    <w:rsid w:val="00067FA9"/>
    <w:rsid w:val="00070072"/>
    <w:rsid w:val="00070124"/>
    <w:rsid w:val="00071C15"/>
    <w:rsid w:val="000720A0"/>
    <w:rsid w:val="00075A6A"/>
    <w:rsid w:val="00075D5B"/>
    <w:rsid w:val="00076034"/>
    <w:rsid w:val="000825F1"/>
    <w:rsid w:val="000867C2"/>
    <w:rsid w:val="00086AFB"/>
    <w:rsid w:val="000905FC"/>
    <w:rsid w:val="00090904"/>
    <w:rsid w:val="00091191"/>
    <w:rsid w:val="00091EF2"/>
    <w:rsid w:val="00095570"/>
    <w:rsid w:val="00096C01"/>
    <w:rsid w:val="000A1A7C"/>
    <w:rsid w:val="000A2072"/>
    <w:rsid w:val="000A6577"/>
    <w:rsid w:val="000A6A79"/>
    <w:rsid w:val="000A6D42"/>
    <w:rsid w:val="000B1C9F"/>
    <w:rsid w:val="000B2E92"/>
    <w:rsid w:val="000B6671"/>
    <w:rsid w:val="000B728D"/>
    <w:rsid w:val="000C1B30"/>
    <w:rsid w:val="000C30F1"/>
    <w:rsid w:val="000C6133"/>
    <w:rsid w:val="000C7D65"/>
    <w:rsid w:val="000D01BB"/>
    <w:rsid w:val="000D11E6"/>
    <w:rsid w:val="000D1BB5"/>
    <w:rsid w:val="000D2F15"/>
    <w:rsid w:val="000D486E"/>
    <w:rsid w:val="000E1AD6"/>
    <w:rsid w:val="000E25A8"/>
    <w:rsid w:val="000E293D"/>
    <w:rsid w:val="000E6198"/>
    <w:rsid w:val="000E6DCA"/>
    <w:rsid w:val="000F1C30"/>
    <w:rsid w:val="000F1D53"/>
    <w:rsid w:val="000F221D"/>
    <w:rsid w:val="000F254D"/>
    <w:rsid w:val="000F75E9"/>
    <w:rsid w:val="001007A2"/>
    <w:rsid w:val="00101135"/>
    <w:rsid w:val="00102457"/>
    <w:rsid w:val="00104147"/>
    <w:rsid w:val="00105806"/>
    <w:rsid w:val="00106BD2"/>
    <w:rsid w:val="0010738B"/>
    <w:rsid w:val="001078FA"/>
    <w:rsid w:val="001120A5"/>
    <w:rsid w:val="00112698"/>
    <w:rsid w:val="00114795"/>
    <w:rsid w:val="00115B97"/>
    <w:rsid w:val="0012106A"/>
    <w:rsid w:val="00122C57"/>
    <w:rsid w:val="00124483"/>
    <w:rsid w:val="0012464A"/>
    <w:rsid w:val="00125215"/>
    <w:rsid w:val="00126EB0"/>
    <w:rsid w:val="001276B5"/>
    <w:rsid w:val="00130180"/>
    <w:rsid w:val="00132015"/>
    <w:rsid w:val="0013502C"/>
    <w:rsid w:val="0013512A"/>
    <w:rsid w:val="001364AE"/>
    <w:rsid w:val="001373AB"/>
    <w:rsid w:val="00140DB2"/>
    <w:rsid w:val="0014163A"/>
    <w:rsid w:val="00150119"/>
    <w:rsid w:val="00151299"/>
    <w:rsid w:val="00151456"/>
    <w:rsid w:val="001528E4"/>
    <w:rsid w:val="0015451B"/>
    <w:rsid w:val="001549A5"/>
    <w:rsid w:val="00162CC8"/>
    <w:rsid w:val="00162CF4"/>
    <w:rsid w:val="00163A9B"/>
    <w:rsid w:val="00164785"/>
    <w:rsid w:val="00165010"/>
    <w:rsid w:val="00171FE4"/>
    <w:rsid w:val="00175991"/>
    <w:rsid w:val="0017748A"/>
    <w:rsid w:val="001810CD"/>
    <w:rsid w:val="0018132A"/>
    <w:rsid w:val="00181399"/>
    <w:rsid w:val="00182B68"/>
    <w:rsid w:val="001858FF"/>
    <w:rsid w:val="00186F81"/>
    <w:rsid w:val="001871CD"/>
    <w:rsid w:val="00187D45"/>
    <w:rsid w:val="00187E8B"/>
    <w:rsid w:val="0019190B"/>
    <w:rsid w:val="00191B3E"/>
    <w:rsid w:val="001A0AD0"/>
    <w:rsid w:val="001A0F2F"/>
    <w:rsid w:val="001A3EB7"/>
    <w:rsid w:val="001B1A82"/>
    <w:rsid w:val="001B210B"/>
    <w:rsid w:val="001B222C"/>
    <w:rsid w:val="001B3217"/>
    <w:rsid w:val="001B3334"/>
    <w:rsid w:val="001B3F88"/>
    <w:rsid w:val="001B41DC"/>
    <w:rsid w:val="001B4E0C"/>
    <w:rsid w:val="001B58A6"/>
    <w:rsid w:val="001B5CFB"/>
    <w:rsid w:val="001B75D6"/>
    <w:rsid w:val="001C21F2"/>
    <w:rsid w:val="001C2DDF"/>
    <w:rsid w:val="001C2F5E"/>
    <w:rsid w:val="001C34A0"/>
    <w:rsid w:val="001C3DD8"/>
    <w:rsid w:val="001C5632"/>
    <w:rsid w:val="001C628C"/>
    <w:rsid w:val="001C6CCB"/>
    <w:rsid w:val="001C6DCD"/>
    <w:rsid w:val="001C6F0F"/>
    <w:rsid w:val="001C7119"/>
    <w:rsid w:val="001C7317"/>
    <w:rsid w:val="001D3C44"/>
    <w:rsid w:val="001D64EB"/>
    <w:rsid w:val="001E2067"/>
    <w:rsid w:val="001E406A"/>
    <w:rsid w:val="001E45A3"/>
    <w:rsid w:val="001E4A27"/>
    <w:rsid w:val="001E4DD1"/>
    <w:rsid w:val="001E52CF"/>
    <w:rsid w:val="001E6BA0"/>
    <w:rsid w:val="001E732E"/>
    <w:rsid w:val="001E75B4"/>
    <w:rsid w:val="001E7A5F"/>
    <w:rsid w:val="001F04CD"/>
    <w:rsid w:val="001F153E"/>
    <w:rsid w:val="001F57E6"/>
    <w:rsid w:val="001F7143"/>
    <w:rsid w:val="00201671"/>
    <w:rsid w:val="002046B9"/>
    <w:rsid w:val="00205015"/>
    <w:rsid w:val="00205DEE"/>
    <w:rsid w:val="00206D3C"/>
    <w:rsid w:val="00207FAB"/>
    <w:rsid w:val="00210228"/>
    <w:rsid w:val="00210335"/>
    <w:rsid w:val="00210525"/>
    <w:rsid w:val="00213707"/>
    <w:rsid w:val="00213B2B"/>
    <w:rsid w:val="002155BD"/>
    <w:rsid w:val="002169D2"/>
    <w:rsid w:val="00217370"/>
    <w:rsid w:val="00217E2A"/>
    <w:rsid w:val="00221534"/>
    <w:rsid w:val="00223AF7"/>
    <w:rsid w:val="002248EA"/>
    <w:rsid w:val="002251D6"/>
    <w:rsid w:val="00225927"/>
    <w:rsid w:val="00225BCF"/>
    <w:rsid w:val="00227095"/>
    <w:rsid w:val="002271AF"/>
    <w:rsid w:val="00232C76"/>
    <w:rsid w:val="00233194"/>
    <w:rsid w:val="00233528"/>
    <w:rsid w:val="00233C2E"/>
    <w:rsid w:val="002347BE"/>
    <w:rsid w:val="00235D4C"/>
    <w:rsid w:val="00236680"/>
    <w:rsid w:val="00240C7A"/>
    <w:rsid w:val="00242407"/>
    <w:rsid w:val="00251633"/>
    <w:rsid w:val="00252C90"/>
    <w:rsid w:val="002535C3"/>
    <w:rsid w:val="002545D0"/>
    <w:rsid w:val="00254ADE"/>
    <w:rsid w:val="0025669D"/>
    <w:rsid w:val="002575B5"/>
    <w:rsid w:val="002621EF"/>
    <w:rsid w:val="0026295F"/>
    <w:rsid w:val="00263EFA"/>
    <w:rsid w:val="002666ED"/>
    <w:rsid w:val="0027154B"/>
    <w:rsid w:val="002721A8"/>
    <w:rsid w:val="00272738"/>
    <w:rsid w:val="0027333B"/>
    <w:rsid w:val="00273A0B"/>
    <w:rsid w:val="002743E1"/>
    <w:rsid w:val="00276B23"/>
    <w:rsid w:val="00280CD8"/>
    <w:rsid w:val="00285DAC"/>
    <w:rsid w:val="00286BE8"/>
    <w:rsid w:val="002913B9"/>
    <w:rsid w:val="00294103"/>
    <w:rsid w:val="00294183"/>
    <w:rsid w:val="00294B6C"/>
    <w:rsid w:val="00297E9C"/>
    <w:rsid w:val="002A196C"/>
    <w:rsid w:val="002A3249"/>
    <w:rsid w:val="002A3597"/>
    <w:rsid w:val="002A43AA"/>
    <w:rsid w:val="002A4DBC"/>
    <w:rsid w:val="002A7A31"/>
    <w:rsid w:val="002B0356"/>
    <w:rsid w:val="002B03C0"/>
    <w:rsid w:val="002B0F50"/>
    <w:rsid w:val="002B184F"/>
    <w:rsid w:val="002B219C"/>
    <w:rsid w:val="002B7C04"/>
    <w:rsid w:val="002C0F20"/>
    <w:rsid w:val="002C1FD2"/>
    <w:rsid w:val="002C2DA3"/>
    <w:rsid w:val="002C6D3B"/>
    <w:rsid w:val="002C6FEA"/>
    <w:rsid w:val="002D02D9"/>
    <w:rsid w:val="002D3B9B"/>
    <w:rsid w:val="002D42DB"/>
    <w:rsid w:val="002D5148"/>
    <w:rsid w:val="002D5201"/>
    <w:rsid w:val="002D60B4"/>
    <w:rsid w:val="002D646D"/>
    <w:rsid w:val="002D6B3E"/>
    <w:rsid w:val="002E26B0"/>
    <w:rsid w:val="002E3094"/>
    <w:rsid w:val="002E4793"/>
    <w:rsid w:val="002E6592"/>
    <w:rsid w:val="002E72A5"/>
    <w:rsid w:val="002F1303"/>
    <w:rsid w:val="002F1398"/>
    <w:rsid w:val="002F5FFB"/>
    <w:rsid w:val="00300A51"/>
    <w:rsid w:val="00300A5C"/>
    <w:rsid w:val="0030109A"/>
    <w:rsid w:val="00301BE4"/>
    <w:rsid w:val="00302440"/>
    <w:rsid w:val="00304534"/>
    <w:rsid w:val="0031071A"/>
    <w:rsid w:val="003115C0"/>
    <w:rsid w:val="00312602"/>
    <w:rsid w:val="0031322B"/>
    <w:rsid w:val="003137C8"/>
    <w:rsid w:val="003142B7"/>
    <w:rsid w:val="003167F7"/>
    <w:rsid w:val="00317867"/>
    <w:rsid w:val="00317956"/>
    <w:rsid w:val="00322B76"/>
    <w:rsid w:val="003247B1"/>
    <w:rsid w:val="00324E0A"/>
    <w:rsid w:val="00325D2E"/>
    <w:rsid w:val="00333226"/>
    <w:rsid w:val="003347CB"/>
    <w:rsid w:val="003377B0"/>
    <w:rsid w:val="00337909"/>
    <w:rsid w:val="003443D1"/>
    <w:rsid w:val="0034454E"/>
    <w:rsid w:val="00346358"/>
    <w:rsid w:val="00346CAA"/>
    <w:rsid w:val="00352954"/>
    <w:rsid w:val="003534F7"/>
    <w:rsid w:val="003536DE"/>
    <w:rsid w:val="00354A0B"/>
    <w:rsid w:val="00355D87"/>
    <w:rsid w:val="0035695E"/>
    <w:rsid w:val="00356A5F"/>
    <w:rsid w:val="003625E7"/>
    <w:rsid w:val="00364515"/>
    <w:rsid w:val="00365BE9"/>
    <w:rsid w:val="00365D7A"/>
    <w:rsid w:val="003660BC"/>
    <w:rsid w:val="00366C6A"/>
    <w:rsid w:val="003710CB"/>
    <w:rsid w:val="00371665"/>
    <w:rsid w:val="00371AC2"/>
    <w:rsid w:val="00371EF1"/>
    <w:rsid w:val="0037279F"/>
    <w:rsid w:val="00373190"/>
    <w:rsid w:val="00375671"/>
    <w:rsid w:val="003769F9"/>
    <w:rsid w:val="00376E92"/>
    <w:rsid w:val="00380093"/>
    <w:rsid w:val="00380116"/>
    <w:rsid w:val="0038018B"/>
    <w:rsid w:val="003806F0"/>
    <w:rsid w:val="00386438"/>
    <w:rsid w:val="00386A18"/>
    <w:rsid w:val="00387BF3"/>
    <w:rsid w:val="00391D4A"/>
    <w:rsid w:val="00392586"/>
    <w:rsid w:val="00395301"/>
    <w:rsid w:val="003971C9"/>
    <w:rsid w:val="003A074C"/>
    <w:rsid w:val="003A10EB"/>
    <w:rsid w:val="003A1176"/>
    <w:rsid w:val="003A1D95"/>
    <w:rsid w:val="003A27E8"/>
    <w:rsid w:val="003A3D12"/>
    <w:rsid w:val="003A3F0E"/>
    <w:rsid w:val="003A3F81"/>
    <w:rsid w:val="003A4C90"/>
    <w:rsid w:val="003A754F"/>
    <w:rsid w:val="003B35C5"/>
    <w:rsid w:val="003B4989"/>
    <w:rsid w:val="003B5B5A"/>
    <w:rsid w:val="003B5CE0"/>
    <w:rsid w:val="003B77F7"/>
    <w:rsid w:val="003C05BC"/>
    <w:rsid w:val="003C21CB"/>
    <w:rsid w:val="003C2BE9"/>
    <w:rsid w:val="003C597E"/>
    <w:rsid w:val="003C62EF"/>
    <w:rsid w:val="003D0A85"/>
    <w:rsid w:val="003D333A"/>
    <w:rsid w:val="003D35A8"/>
    <w:rsid w:val="003D585F"/>
    <w:rsid w:val="003E64DF"/>
    <w:rsid w:val="003E73E5"/>
    <w:rsid w:val="003F4A68"/>
    <w:rsid w:val="003F57E7"/>
    <w:rsid w:val="003F6954"/>
    <w:rsid w:val="0040354D"/>
    <w:rsid w:val="00406B46"/>
    <w:rsid w:val="00410536"/>
    <w:rsid w:val="00410CA7"/>
    <w:rsid w:val="0041212D"/>
    <w:rsid w:val="0041259C"/>
    <w:rsid w:val="004135E3"/>
    <w:rsid w:val="00413E47"/>
    <w:rsid w:val="00415C31"/>
    <w:rsid w:val="00417544"/>
    <w:rsid w:val="00421782"/>
    <w:rsid w:val="00421D11"/>
    <w:rsid w:val="00421EE2"/>
    <w:rsid w:val="00424A3C"/>
    <w:rsid w:val="00427394"/>
    <w:rsid w:val="004301A5"/>
    <w:rsid w:val="0043155D"/>
    <w:rsid w:val="00431FAB"/>
    <w:rsid w:val="00435477"/>
    <w:rsid w:val="004355CF"/>
    <w:rsid w:val="0043684C"/>
    <w:rsid w:val="00437329"/>
    <w:rsid w:val="004402BA"/>
    <w:rsid w:val="004439FC"/>
    <w:rsid w:val="00444EE7"/>
    <w:rsid w:val="0044508A"/>
    <w:rsid w:val="00445649"/>
    <w:rsid w:val="0044610B"/>
    <w:rsid w:val="00450B46"/>
    <w:rsid w:val="00451649"/>
    <w:rsid w:val="004519B8"/>
    <w:rsid w:val="00451F25"/>
    <w:rsid w:val="00453306"/>
    <w:rsid w:val="00454F1E"/>
    <w:rsid w:val="00456651"/>
    <w:rsid w:val="00460E33"/>
    <w:rsid w:val="004620C9"/>
    <w:rsid w:val="0046231B"/>
    <w:rsid w:val="0046252A"/>
    <w:rsid w:val="00464659"/>
    <w:rsid w:val="00467CA5"/>
    <w:rsid w:val="004700E3"/>
    <w:rsid w:val="00470F75"/>
    <w:rsid w:val="00472032"/>
    <w:rsid w:val="00473E4F"/>
    <w:rsid w:val="0047464E"/>
    <w:rsid w:val="00475722"/>
    <w:rsid w:val="0047600F"/>
    <w:rsid w:val="004817FB"/>
    <w:rsid w:val="00481E6F"/>
    <w:rsid w:val="0048350D"/>
    <w:rsid w:val="004862DE"/>
    <w:rsid w:val="0048652A"/>
    <w:rsid w:val="004908B7"/>
    <w:rsid w:val="00490D59"/>
    <w:rsid w:val="0049154C"/>
    <w:rsid w:val="00493755"/>
    <w:rsid w:val="0049479B"/>
    <w:rsid w:val="0049565C"/>
    <w:rsid w:val="00495737"/>
    <w:rsid w:val="00496238"/>
    <w:rsid w:val="00496644"/>
    <w:rsid w:val="004967E5"/>
    <w:rsid w:val="004979F8"/>
    <w:rsid w:val="00497AF1"/>
    <w:rsid w:val="004A228F"/>
    <w:rsid w:val="004A333C"/>
    <w:rsid w:val="004A36D4"/>
    <w:rsid w:val="004A3FEB"/>
    <w:rsid w:val="004A43F9"/>
    <w:rsid w:val="004A4530"/>
    <w:rsid w:val="004A5CF5"/>
    <w:rsid w:val="004A5EC2"/>
    <w:rsid w:val="004A62FE"/>
    <w:rsid w:val="004A6507"/>
    <w:rsid w:val="004A65DB"/>
    <w:rsid w:val="004A6D6C"/>
    <w:rsid w:val="004A713F"/>
    <w:rsid w:val="004B4351"/>
    <w:rsid w:val="004B4C21"/>
    <w:rsid w:val="004C0C82"/>
    <w:rsid w:val="004C1A1F"/>
    <w:rsid w:val="004C37D9"/>
    <w:rsid w:val="004C512E"/>
    <w:rsid w:val="004C5D7C"/>
    <w:rsid w:val="004D0156"/>
    <w:rsid w:val="004D0585"/>
    <w:rsid w:val="004D2426"/>
    <w:rsid w:val="004D25CE"/>
    <w:rsid w:val="004D28F1"/>
    <w:rsid w:val="004D29CC"/>
    <w:rsid w:val="004D578D"/>
    <w:rsid w:val="004D5DE3"/>
    <w:rsid w:val="004D6BA2"/>
    <w:rsid w:val="004E1BEE"/>
    <w:rsid w:val="004E5426"/>
    <w:rsid w:val="004E5F78"/>
    <w:rsid w:val="004E6530"/>
    <w:rsid w:val="004E6DFF"/>
    <w:rsid w:val="004E758D"/>
    <w:rsid w:val="004E7DE7"/>
    <w:rsid w:val="004F2C56"/>
    <w:rsid w:val="004F36A3"/>
    <w:rsid w:val="004F5787"/>
    <w:rsid w:val="004F63B9"/>
    <w:rsid w:val="0050174F"/>
    <w:rsid w:val="005038ED"/>
    <w:rsid w:val="00504581"/>
    <w:rsid w:val="00505137"/>
    <w:rsid w:val="005101E3"/>
    <w:rsid w:val="00513FF9"/>
    <w:rsid w:val="005140A6"/>
    <w:rsid w:val="0051418A"/>
    <w:rsid w:val="005210FB"/>
    <w:rsid w:val="00522F84"/>
    <w:rsid w:val="00523889"/>
    <w:rsid w:val="005259DA"/>
    <w:rsid w:val="00525A89"/>
    <w:rsid w:val="00526F68"/>
    <w:rsid w:val="00527A74"/>
    <w:rsid w:val="005313BF"/>
    <w:rsid w:val="00531A24"/>
    <w:rsid w:val="005330C3"/>
    <w:rsid w:val="00533545"/>
    <w:rsid w:val="00533FF0"/>
    <w:rsid w:val="005345EF"/>
    <w:rsid w:val="00537187"/>
    <w:rsid w:val="00544011"/>
    <w:rsid w:val="00546452"/>
    <w:rsid w:val="00550B5E"/>
    <w:rsid w:val="0055358D"/>
    <w:rsid w:val="00554887"/>
    <w:rsid w:val="005560B8"/>
    <w:rsid w:val="005607DE"/>
    <w:rsid w:val="00560BEE"/>
    <w:rsid w:val="00561456"/>
    <w:rsid w:val="00563571"/>
    <w:rsid w:val="00563685"/>
    <w:rsid w:val="0056399F"/>
    <w:rsid w:val="00566646"/>
    <w:rsid w:val="00571438"/>
    <w:rsid w:val="0057248B"/>
    <w:rsid w:val="005726E6"/>
    <w:rsid w:val="005746D6"/>
    <w:rsid w:val="00575C6F"/>
    <w:rsid w:val="005762E4"/>
    <w:rsid w:val="00576C06"/>
    <w:rsid w:val="005775B2"/>
    <w:rsid w:val="0057798E"/>
    <w:rsid w:val="00580722"/>
    <w:rsid w:val="0058126A"/>
    <w:rsid w:val="00584E31"/>
    <w:rsid w:val="00585EC0"/>
    <w:rsid w:val="00585F92"/>
    <w:rsid w:val="005868B3"/>
    <w:rsid w:val="00587186"/>
    <w:rsid w:val="005871F4"/>
    <w:rsid w:val="005917C4"/>
    <w:rsid w:val="00593C91"/>
    <w:rsid w:val="00593CB1"/>
    <w:rsid w:val="00594DFA"/>
    <w:rsid w:val="00597A78"/>
    <w:rsid w:val="005A0CE8"/>
    <w:rsid w:val="005A1E5F"/>
    <w:rsid w:val="005A26F5"/>
    <w:rsid w:val="005A32AC"/>
    <w:rsid w:val="005A400A"/>
    <w:rsid w:val="005A618D"/>
    <w:rsid w:val="005A7358"/>
    <w:rsid w:val="005B0889"/>
    <w:rsid w:val="005B17C0"/>
    <w:rsid w:val="005B22A5"/>
    <w:rsid w:val="005C2EE6"/>
    <w:rsid w:val="005C315D"/>
    <w:rsid w:val="005C32F4"/>
    <w:rsid w:val="005C33DA"/>
    <w:rsid w:val="005C3A35"/>
    <w:rsid w:val="005C41EA"/>
    <w:rsid w:val="005C56E6"/>
    <w:rsid w:val="005C65BF"/>
    <w:rsid w:val="005D0636"/>
    <w:rsid w:val="005D57E8"/>
    <w:rsid w:val="005D593C"/>
    <w:rsid w:val="005D6FDC"/>
    <w:rsid w:val="005E0AF4"/>
    <w:rsid w:val="005E78B3"/>
    <w:rsid w:val="005F0728"/>
    <w:rsid w:val="005F0A7D"/>
    <w:rsid w:val="005F398B"/>
    <w:rsid w:val="005F46A7"/>
    <w:rsid w:val="005F51C4"/>
    <w:rsid w:val="0060090D"/>
    <w:rsid w:val="00601F89"/>
    <w:rsid w:val="006037DC"/>
    <w:rsid w:val="0060519E"/>
    <w:rsid w:val="00605483"/>
    <w:rsid w:val="0060612A"/>
    <w:rsid w:val="00607D12"/>
    <w:rsid w:val="006117D0"/>
    <w:rsid w:val="0061258E"/>
    <w:rsid w:val="006140F8"/>
    <w:rsid w:val="0061676A"/>
    <w:rsid w:val="00617ED6"/>
    <w:rsid w:val="00621E43"/>
    <w:rsid w:val="00625F75"/>
    <w:rsid w:val="006272DD"/>
    <w:rsid w:val="00631379"/>
    <w:rsid w:val="00631585"/>
    <w:rsid w:val="00631678"/>
    <w:rsid w:val="006316AE"/>
    <w:rsid w:val="00632C54"/>
    <w:rsid w:val="00632F2F"/>
    <w:rsid w:val="0063657C"/>
    <w:rsid w:val="00637FFD"/>
    <w:rsid w:val="0064014F"/>
    <w:rsid w:val="00641B43"/>
    <w:rsid w:val="0064437F"/>
    <w:rsid w:val="00647CAF"/>
    <w:rsid w:val="00650515"/>
    <w:rsid w:val="00650C54"/>
    <w:rsid w:val="00652032"/>
    <w:rsid w:val="0065502C"/>
    <w:rsid w:val="00655A81"/>
    <w:rsid w:val="00656B42"/>
    <w:rsid w:val="00657E00"/>
    <w:rsid w:val="00660E76"/>
    <w:rsid w:val="00660E83"/>
    <w:rsid w:val="00662D33"/>
    <w:rsid w:val="006637ED"/>
    <w:rsid w:val="006643BB"/>
    <w:rsid w:val="00665884"/>
    <w:rsid w:val="00665C11"/>
    <w:rsid w:val="00670E6C"/>
    <w:rsid w:val="00671CDA"/>
    <w:rsid w:val="0067277F"/>
    <w:rsid w:val="00673D4F"/>
    <w:rsid w:val="00674A90"/>
    <w:rsid w:val="00675ED4"/>
    <w:rsid w:val="0067654C"/>
    <w:rsid w:val="00677583"/>
    <w:rsid w:val="006776AD"/>
    <w:rsid w:val="0068170D"/>
    <w:rsid w:val="00681790"/>
    <w:rsid w:val="00682192"/>
    <w:rsid w:val="00682613"/>
    <w:rsid w:val="006848D4"/>
    <w:rsid w:val="00684B19"/>
    <w:rsid w:val="00685BFA"/>
    <w:rsid w:val="00686AC2"/>
    <w:rsid w:val="00686E48"/>
    <w:rsid w:val="00687634"/>
    <w:rsid w:val="00687A57"/>
    <w:rsid w:val="00692B3A"/>
    <w:rsid w:val="00693F6E"/>
    <w:rsid w:val="00697085"/>
    <w:rsid w:val="006A3A30"/>
    <w:rsid w:val="006A4C2F"/>
    <w:rsid w:val="006A73CC"/>
    <w:rsid w:val="006A77EF"/>
    <w:rsid w:val="006B054D"/>
    <w:rsid w:val="006B2423"/>
    <w:rsid w:val="006B2B5B"/>
    <w:rsid w:val="006B5010"/>
    <w:rsid w:val="006B5430"/>
    <w:rsid w:val="006B6174"/>
    <w:rsid w:val="006B62E1"/>
    <w:rsid w:val="006B6611"/>
    <w:rsid w:val="006C3F30"/>
    <w:rsid w:val="006C5638"/>
    <w:rsid w:val="006C5BFD"/>
    <w:rsid w:val="006C7F76"/>
    <w:rsid w:val="006D0504"/>
    <w:rsid w:val="006D0831"/>
    <w:rsid w:val="006D64C9"/>
    <w:rsid w:val="006D678A"/>
    <w:rsid w:val="006D7DEE"/>
    <w:rsid w:val="006E0609"/>
    <w:rsid w:val="006E0CF1"/>
    <w:rsid w:val="006E10A4"/>
    <w:rsid w:val="006E4CC1"/>
    <w:rsid w:val="006E6BEC"/>
    <w:rsid w:val="006E6DD5"/>
    <w:rsid w:val="006F0364"/>
    <w:rsid w:val="006F107D"/>
    <w:rsid w:val="006F4B4E"/>
    <w:rsid w:val="007010C8"/>
    <w:rsid w:val="007039DE"/>
    <w:rsid w:val="0071362F"/>
    <w:rsid w:val="00713848"/>
    <w:rsid w:val="00720536"/>
    <w:rsid w:val="00723994"/>
    <w:rsid w:val="0073413A"/>
    <w:rsid w:val="00734D59"/>
    <w:rsid w:val="00736B8B"/>
    <w:rsid w:val="00740187"/>
    <w:rsid w:val="00740A92"/>
    <w:rsid w:val="007432E7"/>
    <w:rsid w:val="0074465C"/>
    <w:rsid w:val="00745987"/>
    <w:rsid w:val="0075468C"/>
    <w:rsid w:val="00754E0E"/>
    <w:rsid w:val="00756CA3"/>
    <w:rsid w:val="00757E1F"/>
    <w:rsid w:val="00763519"/>
    <w:rsid w:val="00765FF5"/>
    <w:rsid w:val="00766404"/>
    <w:rsid w:val="00766D55"/>
    <w:rsid w:val="007671D9"/>
    <w:rsid w:val="0077073F"/>
    <w:rsid w:val="00772648"/>
    <w:rsid w:val="00773CAA"/>
    <w:rsid w:val="00773D9F"/>
    <w:rsid w:val="00774C83"/>
    <w:rsid w:val="00777020"/>
    <w:rsid w:val="00785ADB"/>
    <w:rsid w:val="00785D95"/>
    <w:rsid w:val="00787C34"/>
    <w:rsid w:val="00787CDA"/>
    <w:rsid w:val="00791299"/>
    <w:rsid w:val="0079182D"/>
    <w:rsid w:val="0079277A"/>
    <w:rsid w:val="00793ECB"/>
    <w:rsid w:val="0079528B"/>
    <w:rsid w:val="0079607F"/>
    <w:rsid w:val="007968B9"/>
    <w:rsid w:val="007979C0"/>
    <w:rsid w:val="007A04E1"/>
    <w:rsid w:val="007A271E"/>
    <w:rsid w:val="007A32C5"/>
    <w:rsid w:val="007A5959"/>
    <w:rsid w:val="007A6DF7"/>
    <w:rsid w:val="007A72FA"/>
    <w:rsid w:val="007A7DA6"/>
    <w:rsid w:val="007B1E8A"/>
    <w:rsid w:val="007B1FAB"/>
    <w:rsid w:val="007B2F1C"/>
    <w:rsid w:val="007B3585"/>
    <w:rsid w:val="007B498A"/>
    <w:rsid w:val="007B589C"/>
    <w:rsid w:val="007B590A"/>
    <w:rsid w:val="007B6B0F"/>
    <w:rsid w:val="007B79CA"/>
    <w:rsid w:val="007B7E39"/>
    <w:rsid w:val="007C31C1"/>
    <w:rsid w:val="007C33B9"/>
    <w:rsid w:val="007C4B16"/>
    <w:rsid w:val="007C5935"/>
    <w:rsid w:val="007C5DEE"/>
    <w:rsid w:val="007D2E9F"/>
    <w:rsid w:val="007D6128"/>
    <w:rsid w:val="007D698E"/>
    <w:rsid w:val="007E1C34"/>
    <w:rsid w:val="007E23CB"/>
    <w:rsid w:val="007E37D4"/>
    <w:rsid w:val="007E39CE"/>
    <w:rsid w:val="007E3F1C"/>
    <w:rsid w:val="007E58A8"/>
    <w:rsid w:val="007F11A6"/>
    <w:rsid w:val="007F2E55"/>
    <w:rsid w:val="007F4657"/>
    <w:rsid w:val="0080731E"/>
    <w:rsid w:val="00813698"/>
    <w:rsid w:val="0081497D"/>
    <w:rsid w:val="0081557A"/>
    <w:rsid w:val="00815B2C"/>
    <w:rsid w:val="00815E78"/>
    <w:rsid w:val="0081687E"/>
    <w:rsid w:val="008211ED"/>
    <w:rsid w:val="0082280D"/>
    <w:rsid w:val="008247C0"/>
    <w:rsid w:val="00833667"/>
    <w:rsid w:val="00833B26"/>
    <w:rsid w:val="00834326"/>
    <w:rsid w:val="008347A7"/>
    <w:rsid w:val="0083511A"/>
    <w:rsid w:val="00836A1B"/>
    <w:rsid w:val="0084358F"/>
    <w:rsid w:val="00846331"/>
    <w:rsid w:val="00846BF3"/>
    <w:rsid w:val="00847EAE"/>
    <w:rsid w:val="00850FB5"/>
    <w:rsid w:val="00851A9F"/>
    <w:rsid w:val="00851CF3"/>
    <w:rsid w:val="00852278"/>
    <w:rsid w:val="008531F4"/>
    <w:rsid w:val="0085442E"/>
    <w:rsid w:val="00854E72"/>
    <w:rsid w:val="00855F83"/>
    <w:rsid w:val="008603D9"/>
    <w:rsid w:val="00860AB3"/>
    <w:rsid w:val="00863CDB"/>
    <w:rsid w:val="008643DE"/>
    <w:rsid w:val="00866713"/>
    <w:rsid w:val="00866F75"/>
    <w:rsid w:val="00867A39"/>
    <w:rsid w:val="0088152A"/>
    <w:rsid w:val="00881957"/>
    <w:rsid w:val="00883845"/>
    <w:rsid w:val="00885763"/>
    <w:rsid w:val="008926D5"/>
    <w:rsid w:val="00893D06"/>
    <w:rsid w:val="008973EF"/>
    <w:rsid w:val="0089767D"/>
    <w:rsid w:val="008976FD"/>
    <w:rsid w:val="008A0D05"/>
    <w:rsid w:val="008A138E"/>
    <w:rsid w:val="008A1832"/>
    <w:rsid w:val="008A287A"/>
    <w:rsid w:val="008A30A3"/>
    <w:rsid w:val="008A32F4"/>
    <w:rsid w:val="008A438D"/>
    <w:rsid w:val="008A5349"/>
    <w:rsid w:val="008A6599"/>
    <w:rsid w:val="008A6BED"/>
    <w:rsid w:val="008A7DB7"/>
    <w:rsid w:val="008B06F0"/>
    <w:rsid w:val="008B4269"/>
    <w:rsid w:val="008B680B"/>
    <w:rsid w:val="008C3F19"/>
    <w:rsid w:val="008C45FA"/>
    <w:rsid w:val="008C663B"/>
    <w:rsid w:val="008D3DC0"/>
    <w:rsid w:val="008D5382"/>
    <w:rsid w:val="008D548E"/>
    <w:rsid w:val="008D5958"/>
    <w:rsid w:val="008D64A9"/>
    <w:rsid w:val="008D69F1"/>
    <w:rsid w:val="008D754C"/>
    <w:rsid w:val="008D792B"/>
    <w:rsid w:val="008E2FB0"/>
    <w:rsid w:val="008E5F68"/>
    <w:rsid w:val="008E7F56"/>
    <w:rsid w:val="008F1861"/>
    <w:rsid w:val="008F2AFF"/>
    <w:rsid w:val="008F601D"/>
    <w:rsid w:val="008F7AAE"/>
    <w:rsid w:val="0090094B"/>
    <w:rsid w:val="00904060"/>
    <w:rsid w:val="00905048"/>
    <w:rsid w:val="00905C4F"/>
    <w:rsid w:val="00905C58"/>
    <w:rsid w:val="009076E6"/>
    <w:rsid w:val="0090782E"/>
    <w:rsid w:val="00912BF3"/>
    <w:rsid w:val="0091632C"/>
    <w:rsid w:val="0092132E"/>
    <w:rsid w:val="00923A85"/>
    <w:rsid w:val="00923B51"/>
    <w:rsid w:val="0092590D"/>
    <w:rsid w:val="00926260"/>
    <w:rsid w:val="0092733E"/>
    <w:rsid w:val="009314A1"/>
    <w:rsid w:val="0093169C"/>
    <w:rsid w:val="009333E0"/>
    <w:rsid w:val="009353E1"/>
    <w:rsid w:val="009403F1"/>
    <w:rsid w:val="00942DBD"/>
    <w:rsid w:val="009458DF"/>
    <w:rsid w:val="00947315"/>
    <w:rsid w:val="00947CCC"/>
    <w:rsid w:val="00952E02"/>
    <w:rsid w:val="00953D95"/>
    <w:rsid w:val="00954551"/>
    <w:rsid w:val="009546FA"/>
    <w:rsid w:val="0095489E"/>
    <w:rsid w:val="009551FB"/>
    <w:rsid w:val="00956DCF"/>
    <w:rsid w:val="0095754A"/>
    <w:rsid w:val="00957EE6"/>
    <w:rsid w:val="00957FF4"/>
    <w:rsid w:val="0096397A"/>
    <w:rsid w:val="00963C30"/>
    <w:rsid w:val="009646E4"/>
    <w:rsid w:val="00967313"/>
    <w:rsid w:val="00970E83"/>
    <w:rsid w:val="0097381F"/>
    <w:rsid w:val="00974413"/>
    <w:rsid w:val="00976625"/>
    <w:rsid w:val="00980182"/>
    <w:rsid w:val="00980C6A"/>
    <w:rsid w:val="00981C25"/>
    <w:rsid w:val="00990077"/>
    <w:rsid w:val="00992B5A"/>
    <w:rsid w:val="0099419D"/>
    <w:rsid w:val="0099581D"/>
    <w:rsid w:val="0099748A"/>
    <w:rsid w:val="00997790"/>
    <w:rsid w:val="009A1F1E"/>
    <w:rsid w:val="009A2B7D"/>
    <w:rsid w:val="009A33C0"/>
    <w:rsid w:val="009A449C"/>
    <w:rsid w:val="009A4E43"/>
    <w:rsid w:val="009A5A01"/>
    <w:rsid w:val="009A6A7D"/>
    <w:rsid w:val="009B0B43"/>
    <w:rsid w:val="009B36DD"/>
    <w:rsid w:val="009B63D6"/>
    <w:rsid w:val="009C21EE"/>
    <w:rsid w:val="009C53E0"/>
    <w:rsid w:val="009D0E65"/>
    <w:rsid w:val="009D297F"/>
    <w:rsid w:val="009D351B"/>
    <w:rsid w:val="009D40CE"/>
    <w:rsid w:val="009D516F"/>
    <w:rsid w:val="009E24D7"/>
    <w:rsid w:val="009E3229"/>
    <w:rsid w:val="009E5399"/>
    <w:rsid w:val="009E6032"/>
    <w:rsid w:val="009E6143"/>
    <w:rsid w:val="009E6373"/>
    <w:rsid w:val="009E7107"/>
    <w:rsid w:val="009F3E59"/>
    <w:rsid w:val="009F7B22"/>
    <w:rsid w:val="00A00724"/>
    <w:rsid w:val="00A011C4"/>
    <w:rsid w:val="00A01328"/>
    <w:rsid w:val="00A01B89"/>
    <w:rsid w:val="00A10A52"/>
    <w:rsid w:val="00A16046"/>
    <w:rsid w:val="00A16502"/>
    <w:rsid w:val="00A16C26"/>
    <w:rsid w:val="00A174EA"/>
    <w:rsid w:val="00A17802"/>
    <w:rsid w:val="00A2466E"/>
    <w:rsid w:val="00A2471C"/>
    <w:rsid w:val="00A2597C"/>
    <w:rsid w:val="00A27120"/>
    <w:rsid w:val="00A30C50"/>
    <w:rsid w:val="00A312D3"/>
    <w:rsid w:val="00A3351C"/>
    <w:rsid w:val="00A35A82"/>
    <w:rsid w:val="00A37124"/>
    <w:rsid w:val="00A433D7"/>
    <w:rsid w:val="00A43B8D"/>
    <w:rsid w:val="00A44338"/>
    <w:rsid w:val="00A463C3"/>
    <w:rsid w:val="00A465B0"/>
    <w:rsid w:val="00A4681A"/>
    <w:rsid w:val="00A46BA2"/>
    <w:rsid w:val="00A50B49"/>
    <w:rsid w:val="00A5177F"/>
    <w:rsid w:val="00A52249"/>
    <w:rsid w:val="00A5278D"/>
    <w:rsid w:val="00A53C39"/>
    <w:rsid w:val="00A553ED"/>
    <w:rsid w:val="00A558C1"/>
    <w:rsid w:val="00A56224"/>
    <w:rsid w:val="00A56E93"/>
    <w:rsid w:val="00A572F6"/>
    <w:rsid w:val="00A60291"/>
    <w:rsid w:val="00A63B2B"/>
    <w:rsid w:val="00A64D69"/>
    <w:rsid w:val="00A6571F"/>
    <w:rsid w:val="00A66831"/>
    <w:rsid w:val="00A67CCB"/>
    <w:rsid w:val="00A706AF"/>
    <w:rsid w:val="00A709BB"/>
    <w:rsid w:val="00A71010"/>
    <w:rsid w:val="00A7231F"/>
    <w:rsid w:val="00A75590"/>
    <w:rsid w:val="00A76FE0"/>
    <w:rsid w:val="00A7714C"/>
    <w:rsid w:val="00A77713"/>
    <w:rsid w:val="00A8100C"/>
    <w:rsid w:val="00A81051"/>
    <w:rsid w:val="00A8296D"/>
    <w:rsid w:val="00A85728"/>
    <w:rsid w:val="00A861CB"/>
    <w:rsid w:val="00A8643E"/>
    <w:rsid w:val="00A87462"/>
    <w:rsid w:val="00A916DB"/>
    <w:rsid w:val="00A94385"/>
    <w:rsid w:val="00A946FD"/>
    <w:rsid w:val="00A9654C"/>
    <w:rsid w:val="00AA192D"/>
    <w:rsid w:val="00AA261C"/>
    <w:rsid w:val="00AA62E8"/>
    <w:rsid w:val="00AA6A8D"/>
    <w:rsid w:val="00AA7F6E"/>
    <w:rsid w:val="00AB035C"/>
    <w:rsid w:val="00AB0D32"/>
    <w:rsid w:val="00AB3870"/>
    <w:rsid w:val="00AB39A4"/>
    <w:rsid w:val="00AB3D78"/>
    <w:rsid w:val="00AB4E1E"/>
    <w:rsid w:val="00AB5413"/>
    <w:rsid w:val="00AC0E06"/>
    <w:rsid w:val="00AC2863"/>
    <w:rsid w:val="00AC3996"/>
    <w:rsid w:val="00AC3A41"/>
    <w:rsid w:val="00AC5307"/>
    <w:rsid w:val="00AC550E"/>
    <w:rsid w:val="00AD22B0"/>
    <w:rsid w:val="00AD3282"/>
    <w:rsid w:val="00AD478D"/>
    <w:rsid w:val="00AD4892"/>
    <w:rsid w:val="00AD527A"/>
    <w:rsid w:val="00AD57AE"/>
    <w:rsid w:val="00AE073B"/>
    <w:rsid w:val="00AE3D1D"/>
    <w:rsid w:val="00AE3E39"/>
    <w:rsid w:val="00AE468B"/>
    <w:rsid w:val="00AE6840"/>
    <w:rsid w:val="00AF0780"/>
    <w:rsid w:val="00AF0A7E"/>
    <w:rsid w:val="00AF47FD"/>
    <w:rsid w:val="00B00C0B"/>
    <w:rsid w:val="00B027A6"/>
    <w:rsid w:val="00B06134"/>
    <w:rsid w:val="00B0635B"/>
    <w:rsid w:val="00B14A95"/>
    <w:rsid w:val="00B14D6D"/>
    <w:rsid w:val="00B20C04"/>
    <w:rsid w:val="00B2412F"/>
    <w:rsid w:val="00B24891"/>
    <w:rsid w:val="00B30583"/>
    <w:rsid w:val="00B305D2"/>
    <w:rsid w:val="00B3187C"/>
    <w:rsid w:val="00B3208B"/>
    <w:rsid w:val="00B32F33"/>
    <w:rsid w:val="00B34A90"/>
    <w:rsid w:val="00B37779"/>
    <w:rsid w:val="00B40F4A"/>
    <w:rsid w:val="00B41515"/>
    <w:rsid w:val="00B41C50"/>
    <w:rsid w:val="00B42FC1"/>
    <w:rsid w:val="00B46784"/>
    <w:rsid w:val="00B46D37"/>
    <w:rsid w:val="00B500F6"/>
    <w:rsid w:val="00B52AE4"/>
    <w:rsid w:val="00B5321D"/>
    <w:rsid w:val="00B53E25"/>
    <w:rsid w:val="00B54E94"/>
    <w:rsid w:val="00B55D7A"/>
    <w:rsid w:val="00B60BB3"/>
    <w:rsid w:val="00B62B84"/>
    <w:rsid w:val="00B64893"/>
    <w:rsid w:val="00B64894"/>
    <w:rsid w:val="00B672D4"/>
    <w:rsid w:val="00B71714"/>
    <w:rsid w:val="00B721C5"/>
    <w:rsid w:val="00B7248A"/>
    <w:rsid w:val="00B744F1"/>
    <w:rsid w:val="00B74C2C"/>
    <w:rsid w:val="00B74D56"/>
    <w:rsid w:val="00B763D1"/>
    <w:rsid w:val="00B76675"/>
    <w:rsid w:val="00B76C4F"/>
    <w:rsid w:val="00B807C4"/>
    <w:rsid w:val="00B80976"/>
    <w:rsid w:val="00B81959"/>
    <w:rsid w:val="00B8324F"/>
    <w:rsid w:val="00B84315"/>
    <w:rsid w:val="00B847EF"/>
    <w:rsid w:val="00B861B0"/>
    <w:rsid w:val="00B92576"/>
    <w:rsid w:val="00B93C5B"/>
    <w:rsid w:val="00B94F4F"/>
    <w:rsid w:val="00B95D6E"/>
    <w:rsid w:val="00B97000"/>
    <w:rsid w:val="00BA077E"/>
    <w:rsid w:val="00BA1706"/>
    <w:rsid w:val="00BA43C1"/>
    <w:rsid w:val="00BA510B"/>
    <w:rsid w:val="00BA5EBC"/>
    <w:rsid w:val="00BB1668"/>
    <w:rsid w:val="00BB37A7"/>
    <w:rsid w:val="00BB5E86"/>
    <w:rsid w:val="00BC20D2"/>
    <w:rsid w:val="00BC20FD"/>
    <w:rsid w:val="00BC3406"/>
    <w:rsid w:val="00BC3757"/>
    <w:rsid w:val="00BC3AD7"/>
    <w:rsid w:val="00BC4E2E"/>
    <w:rsid w:val="00BC575B"/>
    <w:rsid w:val="00BD0CE0"/>
    <w:rsid w:val="00BD24F5"/>
    <w:rsid w:val="00BD7CF7"/>
    <w:rsid w:val="00BD7DDD"/>
    <w:rsid w:val="00BE0901"/>
    <w:rsid w:val="00BE0CE3"/>
    <w:rsid w:val="00BE1BB5"/>
    <w:rsid w:val="00BE207F"/>
    <w:rsid w:val="00BE5F9E"/>
    <w:rsid w:val="00BE640E"/>
    <w:rsid w:val="00BF1C5D"/>
    <w:rsid w:val="00BF2DC9"/>
    <w:rsid w:val="00BF2F67"/>
    <w:rsid w:val="00BF5BE0"/>
    <w:rsid w:val="00BF7F1B"/>
    <w:rsid w:val="00C013BF"/>
    <w:rsid w:val="00C04632"/>
    <w:rsid w:val="00C050EE"/>
    <w:rsid w:val="00C05574"/>
    <w:rsid w:val="00C06536"/>
    <w:rsid w:val="00C147F1"/>
    <w:rsid w:val="00C16FE2"/>
    <w:rsid w:val="00C209EC"/>
    <w:rsid w:val="00C210EA"/>
    <w:rsid w:val="00C21DFD"/>
    <w:rsid w:val="00C2398E"/>
    <w:rsid w:val="00C24715"/>
    <w:rsid w:val="00C25070"/>
    <w:rsid w:val="00C251CC"/>
    <w:rsid w:val="00C267E5"/>
    <w:rsid w:val="00C26C4A"/>
    <w:rsid w:val="00C35C4C"/>
    <w:rsid w:val="00C36E02"/>
    <w:rsid w:val="00C37191"/>
    <w:rsid w:val="00C40E06"/>
    <w:rsid w:val="00C40E9A"/>
    <w:rsid w:val="00C45CDE"/>
    <w:rsid w:val="00C52423"/>
    <w:rsid w:val="00C55648"/>
    <w:rsid w:val="00C55865"/>
    <w:rsid w:val="00C5593E"/>
    <w:rsid w:val="00C61D45"/>
    <w:rsid w:val="00C63133"/>
    <w:rsid w:val="00C638D1"/>
    <w:rsid w:val="00C643D4"/>
    <w:rsid w:val="00C70A64"/>
    <w:rsid w:val="00C71192"/>
    <w:rsid w:val="00C72F7B"/>
    <w:rsid w:val="00C827DE"/>
    <w:rsid w:val="00C82861"/>
    <w:rsid w:val="00C842EA"/>
    <w:rsid w:val="00C85372"/>
    <w:rsid w:val="00C870BF"/>
    <w:rsid w:val="00C9056D"/>
    <w:rsid w:val="00C906C5"/>
    <w:rsid w:val="00C9100B"/>
    <w:rsid w:val="00C9108D"/>
    <w:rsid w:val="00C913DF"/>
    <w:rsid w:val="00C91EE1"/>
    <w:rsid w:val="00C91F4A"/>
    <w:rsid w:val="00C92CB4"/>
    <w:rsid w:val="00C94974"/>
    <w:rsid w:val="00C97944"/>
    <w:rsid w:val="00CA10DE"/>
    <w:rsid w:val="00CA1D35"/>
    <w:rsid w:val="00CA3603"/>
    <w:rsid w:val="00CA3972"/>
    <w:rsid w:val="00CA4CB2"/>
    <w:rsid w:val="00CA6107"/>
    <w:rsid w:val="00CA6A4E"/>
    <w:rsid w:val="00CB0CDC"/>
    <w:rsid w:val="00CB28A0"/>
    <w:rsid w:val="00CB4AA1"/>
    <w:rsid w:val="00CB4D6E"/>
    <w:rsid w:val="00CB5239"/>
    <w:rsid w:val="00CB5B53"/>
    <w:rsid w:val="00CB5D75"/>
    <w:rsid w:val="00CC0F8F"/>
    <w:rsid w:val="00CC4EC9"/>
    <w:rsid w:val="00CC5E70"/>
    <w:rsid w:val="00CC60AB"/>
    <w:rsid w:val="00CD0B05"/>
    <w:rsid w:val="00CD7243"/>
    <w:rsid w:val="00CE2489"/>
    <w:rsid w:val="00CE26BF"/>
    <w:rsid w:val="00CE2E84"/>
    <w:rsid w:val="00CE3BB3"/>
    <w:rsid w:val="00CE5DA6"/>
    <w:rsid w:val="00CE6C2A"/>
    <w:rsid w:val="00CE6E89"/>
    <w:rsid w:val="00CF7669"/>
    <w:rsid w:val="00D0160F"/>
    <w:rsid w:val="00D02EC5"/>
    <w:rsid w:val="00D02EEF"/>
    <w:rsid w:val="00D05E26"/>
    <w:rsid w:val="00D06884"/>
    <w:rsid w:val="00D06E19"/>
    <w:rsid w:val="00D13FB8"/>
    <w:rsid w:val="00D15309"/>
    <w:rsid w:val="00D21787"/>
    <w:rsid w:val="00D23854"/>
    <w:rsid w:val="00D24C94"/>
    <w:rsid w:val="00D30FD6"/>
    <w:rsid w:val="00D3672C"/>
    <w:rsid w:val="00D37288"/>
    <w:rsid w:val="00D404B0"/>
    <w:rsid w:val="00D40E66"/>
    <w:rsid w:val="00D41B5D"/>
    <w:rsid w:val="00D428ED"/>
    <w:rsid w:val="00D44713"/>
    <w:rsid w:val="00D47DB3"/>
    <w:rsid w:val="00D50548"/>
    <w:rsid w:val="00D512ED"/>
    <w:rsid w:val="00D5175D"/>
    <w:rsid w:val="00D523F3"/>
    <w:rsid w:val="00D52562"/>
    <w:rsid w:val="00D554A1"/>
    <w:rsid w:val="00D574F0"/>
    <w:rsid w:val="00D60614"/>
    <w:rsid w:val="00D6310C"/>
    <w:rsid w:val="00D660D7"/>
    <w:rsid w:val="00D66CE0"/>
    <w:rsid w:val="00D71084"/>
    <w:rsid w:val="00D718A3"/>
    <w:rsid w:val="00D76D1C"/>
    <w:rsid w:val="00D76F71"/>
    <w:rsid w:val="00D8397F"/>
    <w:rsid w:val="00D840CF"/>
    <w:rsid w:val="00D844C8"/>
    <w:rsid w:val="00D84773"/>
    <w:rsid w:val="00D85452"/>
    <w:rsid w:val="00D86DD3"/>
    <w:rsid w:val="00D90B40"/>
    <w:rsid w:val="00D9305B"/>
    <w:rsid w:val="00D94419"/>
    <w:rsid w:val="00D969E3"/>
    <w:rsid w:val="00D97354"/>
    <w:rsid w:val="00DA15B7"/>
    <w:rsid w:val="00DA41D6"/>
    <w:rsid w:val="00DA45D5"/>
    <w:rsid w:val="00DA5E1C"/>
    <w:rsid w:val="00DB12F8"/>
    <w:rsid w:val="00DB5C8F"/>
    <w:rsid w:val="00DB6419"/>
    <w:rsid w:val="00DB6982"/>
    <w:rsid w:val="00DC1D93"/>
    <w:rsid w:val="00DC32F8"/>
    <w:rsid w:val="00DC3A4B"/>
    <w:rsid w:val="00DC3EF7"/>
    <w:rsid w:val="00DD0E9D"/>
    <w:rsid w:val="00DD15FE"/>
    <w:rsid w:val="00DD1A40"/>
    <w:rsid w:val="00DD1F77"/>
    <w:rsid w:val="00DE19DD"/>
    <w:rsid w:val="00DE1AF6"/>
    <w:rsid w:val="00DE50E8"/>
    <w:rsid w:val="00DF0778"/>
    <w:rsid w:val="00DF07FA"/>
    <w:rsid w:val="00DF1F50"/>
    <w:rsid w:val="00DF2E90"/>
    <w:rsid w:val="00E00567"/>
    <w:rsid w:val="00E040BA"/>
    <w:rsid w:val="00E05318"/>
    <w:rsid w:val="00E05802"/>
    <w:rsid w:val="00E05AC5"/>
    <w:rsid w:val="00E05C50"/>
    <w:rsid w:val="00E07543"/>
    <w:rsid w:val="00E13C4C"/>
    <w:rsid w:val="00E156B3"/>
    <w:rsid w:val="00E17065"/>
    <w:rsid w:val="00E2036C"/>
    <w:rsid w:val="00E222D7"/>
    <w:rsid w:val="00E225B4"/>
    <w:rsid w:val="00E22667"/>
    <w:rsid w:val="00E2285B"/>
    <w:rsid w:val="00E22A20"/>
    <w:rsid w:val="00E26C47"/>
    <w:rsid w:val="00E30597"/>
    <w:rsid w:val="00E3078B"/>
    <w:rsid w:val="00E318D0"/>
    <w:rsid w:val="00E324ED"/>
    <w:rsid w:val="00E32D56"/>
    <w:rsid w:val="00E32EBC"/>
    <w:rsid w:val="00E34025"/>
    <w:rsid w:val="00E37CB8"/>
    <w:rsid w:val="00E41729"/>
    <w:rsid w:val="00E45A88"/>
    <w:rsid w:val="00E45CC3"/>
    <w:rsid w:val="00E47180"/>
    <w:rsid w:val="00E4774F"/>
    <w:rsid w:val="00E51DA4"/>
    <w:rsid w:val="00E52DE4"/>
    <w:rsid w:val="00E53399"/>
    <w:rsid w:val="00E54B33"/>
    <w:rsid w:val="00E5643E"/>
    <w:rsid w:val="00E57788"/>
    <w:rsid w:val="00E61DBD"/>
    <w:rsid w:val="00E630EC"/>
    <w:rsid w:val="00E64FE4"/>
    <w:rsid w:val="00E67F6C"/>
    <w:rsid w:val="00E70897"/>
    <w:rsid w:val="00E7384B"/>
    <w:rsid w:val="00E73FC4"/>
    <w:rsid w:val="00E75B0C"/>
    <w:rsid w:val="00E77D26"/>
    <w:rsid w:val="00E804CE"/>
    <w:rsid w:val="00E80F6F"/>
    <w:rsid w:val="00E81300"/>
    <w:rsid w:val="00E83A3A"/>
    <w:rsid w:val="00E87D58"/>
    <w:rsid w:val="00E91264"/>
    <w:rsid w:val="00E9197B"/>
    <w:rsid w:val="00E92D9D"/>
    <w:rsid w:val="00E945F1"/>
    <w:rsid w:val="00E95C18"/>
    <w:rsid w:val="00EA1842"/>
    <w:rsid w:val="00EA3110"/>
    <w:rsid w:val="00EA399A"/>
    <w:rsid w:val="00EA4108"/>
    <w:rsid w:val="00EA5483"/>
    <w:rsid w:val="00EA63C0"/>
    <w:rsid w:val="00EA68AD"/>
    <w:rsid w:val="00EB2743"/>
    <w:rsid w:val="00EB2802"/>
    <w:rsid w:val="00EB339D"/>
    <w:rsid w:val="00EB3DFC"/>
    <w:rsid w:val="00EB69DC"/>
    <w:rsid w:val="00EB7913"/>
    <w:rsid w:val="00EB7970"/>
    <w:rsid w:val="00EC1715"/>
    <w:rsid w:val="00EC2129"/>
    <w:rsid w:val="00EC2F8B"/>
    <w:rsid w:val="00EC2FF6"/>
    <w:rsid w:val="00EC595A"/>
    <w:rsid w:val="00EC6F4E"/>
    <w:rsid w:val="00ED19C7"/>
    <w:rsid w:val="00ED22AB"/>
    <w:rsid w:val="00ED579E"/>
    <w:rsid w:val="00ED5A0A"/>
    <w:rsid w:val="00ED6A10"/>
    <w:rsid w:val="00ED6F40"/>
    <w:rsid w:val="00ED79C2"/>
    <w:rsid w:val="00EE07F3"/>
    <w:rsid w:val="00EE0968"/>
    <w:rsid w:val="00EE2007"/>
    <w:rsid w:val="00EE280D"/>
    <w:rsid w:val="00EE2854"/>
    <w:rsid w:val="00EE37B9"/>
    <w:rsid w:val="00EE3AE6"/>
    <w:rsid w:val="00EE4FA2"/>
    <w:rsid w:val="00EE586F"/>
    <w:rsid w:val="00EF0EC0"/>
    <w:rsid w:val="00EF123D"/>
    <w:rsid w:val="00EF26C3"/>
    <w:rsid w:val="00EF58B4"/>
    <w:rsid w:val="00EF58C4"/>
    <w:rsid w:val="00EF5FB6"/>
    <w:rsid w:val="00F01D56"/>
    <w:rsid w:val="00F01EC5"/>
    <w:rsid w:val="00F05A13"/>
    <w:rsid w:val="00F05FEF"/>
    <w:rsid w:val="00F074E6"/>
    <w:rsid w:val="00F07F3B"/>
    <w:rsid w:val="00F148C4"/>
    <w:rsid w:val="00F169EE"/>
    <w:rsid w:val="00F169FE"/>
    <w:rsid w:val="00F17CFA"/>
    <w:rsid w:val="00F17E00"/>
    <w:rsid w:val="00F17EDC"/>
    <w:rsid w:val="00F20131"/>
    <w:rsid w:val="00F204BA"/>
    <w:rsid w:val="00F20EE6"/>
    <w:rsid w:val="00F2277D"/>
    <w:rsid w:val="00F23C96"/>
    <w:rsid w:val="00F24BBD"/>
    <w:rsid w:val="00F26CDC"/>
    <w:rsid w:val="00F30C55"/>
    <w:rsid w:val="00F311A5"/>
    <w:rsid w:val="00F31B6F"/>
    <w:rsid w:val="00F31FC7"/>
    <w:rsid w:val="00F3230F"/>
    <w:rsid w:val="00F3510E"/>
    <w:rsid w:val="00F35E79"/>
    <w:rsid w:val="00F378BD"/>
    <w:rsid w:val="00F4217E"/>
    <w:rsid w:val="00F42459"/>
    <w:rsid w:val="00F43B5B"/>
    <w:rsid w:val="00F45B55"/>
    <w:rsid w:val="00F47912"/>
    <w:rsid w:val="00F51B4B"/>
    <w:rsid w:val="00F53962"/>
    <w:rsid w:val="00F5509D"/>
    <w:rsid w:val="00F5628F"/>
    <w:rsid w:val="00F60EA8"/>
    <w:rsid w:val="00F60ED4"/>
    <w:rsid w:val="00F613FD"/>
    <w:rsid w:val="00F64E03"/>
    <w:rsid w:val="00F66898"/>
    <w:rsid w:val="00F6709C"/>
    <w:rsid w:val="00F715FF"/>
    <w:rsid w:val="00F72B03"/>
    <w:rsid w:val="00F73436"/>
    <w:rsid w:val="00F80493"/>
    <w:rsid w:val="00F81268"/>
    <w:rsid w:val="00F8552F"/>
    <w:rsid w:val="00F85A9C"/>
    <w:rsid w:val="00F86849"/>
    <w:rsid w:val="00F87255"/>
    <w:rsid w:val="00F91EE3"/>
    <w:rsid w:val="00F951D2"/>
    <w:rsid w:val="00F96187"/>
    <w:rsid w:val="00F9683F"/>
    <w:rsid w:val="00F96BDE"/>
    <w:rsid w:val="00F97382"/>
    <w:rsid w:val="00FA1015"/>
    <w:rsid w:val="00FA11AE"/>
    <w:rsid w:val="00FA31A0"/>
    <w:rsid w:val="00FA54B2"/>
    <w:rsid w:val="00FA6B70"/>
    <w:rsid w:val="00FB21CB"/>
    <w:rsid w:val="00FB2464"/>
    <w:rsid w:val="00FB289A"/>
    <w:rsid w:val="00FB550D"/>
    <w:rsid w:val="00FB6E5C"/>
    <w:rsid w:val="00FC30E7"/>
    <w:rsid w:val="00FC368D"/>
    <w:rsid w:val="00FC5F69"/>
    <w:rsid w:val="00FD2A07"/>
    <w:rsid w:val="00FD3AFD"/>
    <w:rsid w:val="00FD51B4"/>
    <w:rsid w:val="00FD578A"/>
    <w:rsid w:val="00FD6B4E"/>
    <w:rsid w:val="00FD725C"/>
    <w:rsid w:val="00FD7ECF"/>
    <w:rsid w:val="00FE1416"/>
    <w:rsid w:val="00FE186A"/>
    <w:rsid w:val="00FE4A0B"/>
    <w:rsid w:val="00FE64A6"/>
    <w:rsid w:val="00FE6F32"/>
    <w:rsid w:val="00FE714B"/>
    <w:rsid w:val="00FE7C88"/>
    <w:rsid w:val="00FF17E7"/>
    <w:rsid w:val="00FF1D45"/>
    <w:rsid w:val="00FF223E"/>
    <w:rsid w:val="00FF4741"/>
    <w:rsid w:val="00FF5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299"/>
    <w:pPr>
      <w:spacing w:after="200" w:line="276" w:lineRule="auto"/>
    </w:pPr>
    <w:rPr>
      <w:sz w:val="22"/>
      <w:szCs w:val="22"/>
    </w:rPr>
  </w:style>
  <w:style w:type="paragraph" w:styleId="Heading1">
    <w:name w:val="heading 1"/>
    <w:basedOn w:val="Normal"/>
    <w:next w:val="Normal"/>
    <w:link w:val="Heading1Char"/>
    <w:uiPriority w:val="9"/>
    <w:qFormat/>
    <w:rsid w:val="006140F8"/>
    <w:pPr>
      <w:keepNext/>
      <w:keepLines/>
      <w:spacing w:before="480" w:after="0"/>
      <w:outlineLvl w:val="0"/>
    </w:pPr>
    <w:rPr>
      <w:rFonts w:ascii="Cambria" w:eastAsia="Times New Roman" w:hAnsi="Cambria"/>
      <w:b/>
      <w:bCs/>
      <w:color w:val="365F91"/>
      <w:sz w:val="28"/>
      <w:szCs w:val="28"/>
    </w:rPr>
  </w:style>
  <w:style w:type="paragraph" w:styleId="Heading4">
    <w:name w:val="heading 4"/>
    <w:basedOn w:val="Normal"/>
    <w:next w:val="Normal"/>
    <w:link w:val="Heading4Char"/>
    <w:uiPriority w:val="9"/>
    <w:semiHidden/>
    <w:unhideWhenUsed/>
    <w:qFormat/>
    <w:rsid w:val="0003152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C6CCB"/>
    <w:rPr>
      <w:rFonts w:eastAsia="Times New Roman"/>
      <w:sz w:val="22"/>
      <w:szCs w:val="22"/>
    </w:rPr>
  </w:style>
  <w:style w:type="character" w:customStyle="1" w:styleId="NoSpacingChar">
    <w:name w:val="No Spacing Char"/>
    <w:basedOn w:val="DefaultParagraphFont"/>
    <w:link w:val="NoSpacing"/>
    <w:uiPriority w:val="1"/>
    <w:rsid w:val="001C6CCB"/>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1C6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CCB"/>
    <w:rPr>
      <w:rFonts w:ascii="Tahoma" w:hAnsi="Tahoma" w:cs="Tahoma"/>
      <w:sz w:val="16"/>
      <w:szCs w:val="16"/>
    </w:rPr>
  </w:style>
  <w:style w:type="character" w:customStyle="1" w:styleId="Heading1Char">
    <w:name w:val="Heading 1 Char"/>
    <w:basedOn w:val="DefaultParagraphFont"/>
    <w:link w:val="Heading1"/>
    <w:uiPriority w:val="9"/>
    <w:rsid w:val="006140F8"/>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217E2A"/>
    <w:pPr>
      <w:outlineLvl w:val="9"/>
    </w:pPr>
  </w:style>
  <w:style w:type="paragraph" w:styleId="TOC1">
    <w:name w:val="toc 1"/>
    <w:basedOn w:val="Normal"/>
    <w:next w:val="Normal"/>
    <w:autoRedefine/>
    <w:uiPriority w:val="39"/>
    <w:unhideWhenUsed/>
    <w:rsid w:val="00217E2A"/>
  </w:style>
  <w:style w:type="character" w:styleId="Hyperlink">
    <w:name w:val="Hyperlink"/>
    <w:basedOn w:val="DefaultParagraphFont"/>
    <w:uiPriority w:val="99"/>
    <w:unhideWhenUsed/>
    <w:rsid w:val="00217E2A"/>
    <w:rPr>
      <w:color w:val="0000FF"/>
      <w:u w:val="single"/>
    </w:rPr>
  </w:style>
  <w:style w:type="paragraph" w:styleId="Title">
    <w:name w:val="Title"/>
    <w:basedOn w:val="Normal"/>
    <w:next w:val="Normal"/>
    <w:link w:val="TitleChar"/>
    <w:uiPriority w:val="10"/>
    <w:qFormat/>
    <w:rsid w:val="003C21CB"/>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3C21CB"/>
    <w:rPr>
      <w:rFonts w:ascii="Cambria" w:eastAsia="Times New Roman" w:hAnsi="Cambria" w:cs="Times New Roman"/>
      <w:b/>
      <w:bCs/>
      <w:kern w:val="28"/>
      <w:sz w:val="32"/>
      <w:szCs w:val="32"/>
    </w:rPr>
  </w:style>
  <w:style w:type="paragraph" w:styleId="FootnoteText">
    <w:name w:val="footnote text"/>
    <w:basedOn w:val="Normal"/>
    <w:link w:val="FootnoteTextChar"/>
    <w:uiPriority w:val="99"/>
    <w:semiHidden/>
    <w:unhideWhenUsed/>
    <w:rsid w:val="00F20EE6"/>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F20EE6"/>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F20EE6"/>
    <w:rPr>
      <w:vertAlign w:val="superscript"/>
    </w:rPr>
  </w:style>
  <w:style w:type="paragraph" w:styleId="ListParagraph">
    <w:name w:val="List Paragraph"/>
    <w:basedOn w:val="Normal"/>
    <w:uiPriority w:val="34"/>
    <w:qFormat/>
    <w:rsid w:val="00F20EE6"/>
    <w:pPr>
      <w:ind w:left="720"/>
      <w:contextualSpacing/>
    </w:pPr>
    <w:rPr>
      <w:rFonts w:asciiTheme="minorHAnsi" w:eastAsiaTheme="minorHAnsi" w:hAnsiTheme="minorHAnsi" w:cstheme="minorBidi"/>
    </w:rPr>
  </w:style>
  <w:style w:type="table" w:styleId="TableGrid">
    <w:name w:val="Table Grid"/>
    <w:basedOn w:val="TableNormal"/>
    <w:uiPriority w:val="59"/>
    <w:rsid w:val="003A3F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54F1E"/>
    <w:rPr>
      <w:sz w:val="16"/>
      <w:szCs w:val="16"/>
    </w:rPr>
  </w:style>
  <w:style w:type="paragraph" w:styleId="CommentText">
    <w:name w:val="annotation text"/>
    <w:basedOn w:val="Normal"/>
    <w:link w:val="CommentTextChar"/>
    <w:uiPriority w:val="99"/>
    <w:semiHidden/>
    <w:unhideWhenUsed/>
    <w:rsid w:val="00454F1E"/>
    <w:pPr>
      <w:spacing w:line="240" w:lineRule="auto"/>
    </w:pPr>
    <w:rPr>
      <w:sz w:val="20"/>
      <w:szCs w:val="20"/>
    </w:rPr>
  </w:style>
  <w:style w:type="character" w:customStyle="1" w:styleId="CommentTextChar">
    <w:name w:val="Comment Text Char"/>
    <w:basedOn w:val="DefaultParagraphFont"/>
    <w:link w:val="CommentText"/>
    <w:uiPriority w:val="99"/>
    <w:semiHidden/>
    <w:rsid w:val="00454F1E"/>
  </w:style>
  <w:style w:type="paragraph" w:styleId="CommentSubject">
    <w:name w:val="annotation subject"/>
    <w:basedOn w:val="CommentText"/>
    <w:next w:val="CommentText"/>
    <w:link w:val="CommentSubjectChar"/>
    <w:uiPriority w:val="99"/>
    <w:semiHidden/>
    <w:unhideWhenUsed/>
    <w:rsid w:val="00454F1E"/>
    <w:rPr>
      <w:b/>
      <w:bCs/>
    </w:rPr>
  </w:style>
  <w:style w:type="character" w:customStyle="1" w:styleId="CommentSubjectChar">
    <w:name w:val="Comment Subject Char"/>
    <w:basedOn w:val="CommentTextChar"/>
    <w:link w:val="CommentSubject"/>
    <w:uiPriority w:val="99"/>
    <w:semiHidden/>
    <w:rsid w:val="00454F1E"/>
    <w:rPr>
      <w:b/>
      <w:bCs/>
    </w:rPr>
  </w:style>
  <w:style w:type="paragraph" w:customStyle="1" w:styleId="Agenda">
    <w:name w:val="Agenda"/>
    <w:basedOn w:val="Normal"/>
    <w:rsid w:val="005330C3"/>
    <w:pPr>
      <w:tabs>
        <w:tab w:val="left" w:pos="180"/>
        <w:tab w:val="left" w:pos="1305"/>
      </w:tabs>
      <w:autoSpaceDE w:val="0"/>
      <w:autoSpaceDN w:val="0"/>
      <w:adjustRightInd w:val="0"/>
      <w:spacing w:before="18" w:after="0" w:line="288" w:lineRule="auto"/>
      <w:ind w:left="45"/>
      <w:textAlignment w:val="center"/>
    </w:pPr>
    <w:rPr>
      <w:rFonts w:ascii="Arial Narrow" w:eastAsia="Times New Roman" w:hAnsi="Arial Narrow" w:cs="Arial Narrow"/>
      <w:color w:val="000000"/>
      <w:sz w:val="18"/>
      <w:szCs w:val="18"/>
    </w:rPr>
  </w:style>
  <w:style w:type="character" w:customStyle="1" w:styleId="Heading4Char">
    <w:name w:val="Heading 4 Char"/>
    <w:basedOn w:val="DefaultParagraphFont"/>
    <w:link w:val="Heading4"/>
    <w:uiPriority w:val="9"/>
    <w:semiHidden/>
    <w:rsid w:val="0003152F"/>
    <w:rPr>
      <w:rFonts w:asciiTheme="majorHAnsi" w:eastAsiaTheme="majorEastAsia" w:hAnsiTheme="majorHAnsi" w:cstheme="majorBidi"/>
      <w:b/>
      <w:bCs/>
      <w:i/>
      <w:iCs/>
      <w:color w:val="4F81BD" w:themeColor="accent1"/>
      <w:sz w:val="22"/>
      <w:szCs w:val="22"/>
    </w:rPr>
  </w:style>
  <w:style w:type="paragraph" w:styleId="IntenseQuote">
    <w:name w:val="Intense Quote"/>
    <w:basedOn w:val="Normal"/>
    <w:next w:val="Normal"/>
    <w:link w:val="IntenseQuoteChar"/>
    <w:uiPriority w:val="30"/>
    <w:qFormat/>
    <w:rsid w:val="0003152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3152F"/>
    <w:rPr>
      <w:b/>
      <w:bCs/>
      <w:i/>
      <w:iCs/>
      <w:color w:val="4F81BD" w:themeColor="accent1"/>
      <w:sz w:val="22"/>
      <w:szCs w:val="22"/>
    </w:rPr>
  </w:style>
  <w:style w:type="paragraph" w:styleId="Header">
    <w:name w:val="header"/>
    <w:basedOn w:val="Normal"/>
    <w:link w:val="HeaderChar"/>
    <w:uiPriority w:val="99"/>
    <w:unhideWhenUsed/>
    <w:rsid w:val="00D854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452"/>
    <w:rPr>
      <w:sz w:val="22"/>
      <w:szCs w:val="22"/>
    </w:rPr>
  </w:style>
  <w:style w:type="paragraph" w:styleId="Footer">
    <w:name w:val="footer"/>
    <w:basedOn w:val="Normal"/>
    <w:link w:val="FooterChar"/>
    <w:uiPriority w:val="99"/>
    <w:unhideWhenUsed/>
    <w:rsid w:val="00D854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452"/>
    <w:rPr>
      <w:sz w:val="22"/>
      <w:szCs w:val="22"/>
    </w:rPr>
  </w:style>
  <w:style w:type="character" w:styleId="PlaceholderText">
    <w:name w:val="Placeholder Text"/>
    <w:basedOn w:val="DefaultParagraphFont"/>
    <w:uiPriority w:val="99"/>
    <w:semiHidden/>
    <w:rsid w:val="009D516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299"/>
    <w:pPr>
      <w:spacing w:after="200" w:line="276" w:lineRule="auto"/>
    </w:pPr>
    <w:rPr>
      <w:sz w:val="22"/>
      <w:szCs w:val="22"/>
    </w:rPr>
  </w:style>
  <w:style w:type="paragraph" w:styleId="Heading1">
    <w:name w:val="heading 1"/>
    <w:basedOn w:val="Normal"/>
    <w:next w:val="Normal"/>
    <w:link w:val="Heading1Char"/>
    <w:uiPriority w:val="9"/>
    <w:qFormat/>
    <w:rsid w:val="006140F8"/>
    <w:pPr>
      <w:keepNext/>
      <w:keepLines/>
      <w:spacing w:before="480" w:after="0"/>
      <w:outlineLvl w:val="0"/>
    </w:pPr>
    <w:rPr>
      <w:rFonts w:ascii="Cambria" w:eastAsia="Times New Roman" w:hAnsi="Cambria"/>
      <w:b/>
      <w:bCs/>
      <w:color w:val="365F91"/>
      <w:sz w:val="28"/>
      <w:szCs w:val="28"/>
    </w:rPr>
  </w:style>
  <w:style w:type="paragraph" w:styleId="Heading4">
    <w:name w:val="heading 4"/>
    <w:basedOn w:val="Normal"/>
    <w:next w:val="Normal"/>
    <w:link w:val="Heading4Char"/>
    <w:uiPriority w:val="9"/>
    <w:semiHidden/>
    <w:unhideWhenUsed/>
    <w:qFormat/>
    <w:rsid w:val="0003152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C6CCB"/>
    <w:rPr>
      <w:rFonts w:eastAsia="Times New Roman"/>
      <w:sz w:val="22"/>
      <w:szCs w:val="22"/>
    </w:rPr>
  </w:style>
  <w:style w:type="character" w:customStyle="1" w:styleId="NoSpacingChar">
    <w:name w:val="No Spacing Char"/>
    <w:basedOn w:val="DefaultParagraphFont"/>
    <w:link w:val="NoSpacing"/>
    <w:uiPriority w:val="1"/>
    <w:rsid w:val="001C6CCB"/>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1C6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CCB"/>
    <w:rPr>
      <w:rFonts w:ascii="Tahoma" w:hAnsi="Tahoma" w:cs="Tahoma"/>
      <w:sz w:val="16"/>
      <w:szCs w:val="16"/>
    </w:rPr>
  </w:style>
  <w:style w:type="character" w:customStyle="1" w:styleId="Heading1Char">
    <w:name w:val="Heading 1 Char"/>
    <w:basedOn w:val="DefaultParagraphFont"/>
    <w:link w:val="Heading1"/>
    <w:uiPriority w:val="9"/>
    <w:rsid w:val="006140F8"/>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217E2A"/>
    <w:pPr>
      <w:outlineLvl w:val="9"/>
    </w:pPr>
  </w:style>
  <w:style w:type="paragraph" w:styleId="TOC1">
    <w:name w:val="toc 1"/>
    <w:basedOn w:val="Normal"/>
    <w:next w:val="Normal"/>
    <w:autoRedefine/>
    <w:uiPriority w:val="39"/>
    <w:unhideWhenUsed/>
    <w:rsid w:val="00217E2A"/>
  </w:style>
  <w:style w:type="character" w:styleId="Hyperlink">
    <w:name w:val="Hyperlink"/>
    <w:basedOn w:val="DefaultParagraphFont"/>
    <w:uiPriority w:val="99"/>
    <w:unhideWhenUsed/>
    <w:rsid w:val="00217E2A"/>
    <w:rPr>
      <w:color w:val="0000FF"/>
      <w:u w:val="single"/>
    </w:rPr>
  </w:style>
  <w:style w:type="paragraph" w:styleId="Title">
    <w:name w:val="Title"/>
    <w:basedOn w:val="Normal"/>
    <w:next w:val="Normal"/>
    <w:link w:val="TitleChar"/>
    <w:uiPriority w:val="10"/>
    <w:qFormat/>
    <w:rsid w:val="003C21CB"/>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3C21CB"/>
    <w:rPr>
      <w:rFonts w:ascii="Cambria" w:eastAsia="Times New Roman" w:hAnsi="Cambria" w:cs="Times New Roman"/>
      <w:b/>
      <w:bCs/>
      <w:kern w:val="28"/>
      <w:sz w:val="32"/>
      <w:szCs w:val="32"/>
    </w:rPr>
  </w:style>
  <w:style w:type="paragraph" w:styleId="FootnoteText">
    <w:name w:val="footnote text"/>
    <w:basedOn w:val="Normal"/>
    <w:link w:val="FootnoteTextChar"/>
    <w:uiPriority w:val="99"/>
    <w:semiHidden/>
    <w:unhideWhenUsed/>
    <w:rsid w:val="00F20EE6"/>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F20EE6"/>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F20EE6"/>
    <w:rPr>
      <w:vertAlign w:val="superscript"/>
    </w:rPr>
  </w:style>
  <w:style w:type="paragraph" w:styleId="ListParagraph">
    <w:name w:val="List Paragraph"/>
    <w:basedOn w:val="Normal"/>
    <w:uiPriority w:val="34"/>
    <w:qFormat/>
    <w:rsid w:val="00F20EE6"/>
    <w:pPr>
      <w:ind w:left="720"/>
      <w:contextualSpacing/>
    </w:pPr>
    <w:rPr>
      <w:rFonts w:asciiTheme="minorHAnsi" w:eastAsiaTheme="minorHAnsi" w:hAnsiTheme="minorHAnsi" w:cstheme="minorBidi"/>
    </w:rPr>
  </w:style>
  <w:style w:type="table" w:styleId="TableGrid">
    <w:name w:val="Table Grid"/>
    <w:basedOn w:val="TableNormal"/>
    <w:uiPriority w:val="59"/>
    <w:rsid w:val="003A3F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54F1E"/>
    <w:rPr>
      <w:sz w:val="16"/>
      <w:szCs w:val="16"/>
    </w:rPr>
  </w:style>
  <w:style w:type="paragraph" w:styleId="CommentText">
    <w:name w:val="annotation text"/>
    <w:basedOn w:val="Normal"/>
    <w:link w:val="CommentTextChar"/>
    <w:uiPriority w:val="99"/>
    <w:semiHidden/>
    <w:unhideWhenUsed/>
    <w:rsid w:val="00454F1E"/>
    <w:pPr>
      <w:spacing w:line="240" w:lineRule="auto"/>
    </w:pPr>
    <w:rPr>
      <w:sz w:val="20"/>
      <w:szCs w:val="20"/>
    </w:rPr>
  </w:style>
  <w:style w:type="character" w:customStyle="1" w:styleId="CommentTextChar">
    <w:name w:val="Comment Text Char"/>
    <w:basedOn w:val="DefaultParagraphFont"/>
    <w:link w:val="CommentText"/>
    <w:uiPriority w:val="99"/>
    <w:semiHidden/>
    <w:rsid w:val="00454F1E"/>
  </w:style>
  <w:style w:type="paragraph" w:styleId="CommentSubject">
    <w:name w:val="annotation subject"/>
    <w:basedOn w:val="CommentText"/>
    <w:next w:val="CommentText"/>
    <w:link w:val="CommentSubjectChar"/>
    <w:uiPriority w:val="99"/>
    <w:semiHidden/>
    <w:unhideWhenUsed/>
    <w:rsid w:val="00454F1E"/>
    <w:rPr>
      <w:b/>
      <w:bCs/>
    </w:rPr>
  </w:style>
  <w:style w:type="character" w:customStyle="1" w:styleId="CommentSubjectChar">
    <w:name w:val="Comment Subject Char"/>
    <w:basedOn w:val="CommentTextChar"/>
    <w:link w:val="CommentSubject"/>
    <w:uiPriority w:val="99"/>
    <w:semiHidden/>
    <w:rsid w:val="00454F1E"/>
    <w:rPr>
      <w:b/>
      <w:bCs/>
    </w:rPr>
  </w:style>
  <w:style w:type="paragraph" w:customStyle="1" w:styleId="Agenda">
    <w:name w:val="Agenda"/>
    <w:basedOn w:val="Normal"/>
    <w:rsid w:val="005330C3"/>
    <w:pPr>
      <w:tabs>
        <w:tab w:val="left" w:pos="180"/>
        <w:tab w:val="left" w:pos="1305"/>
      </w:tabs>
      <w:autoSpaceDE w:val="0"/>
      <w:autoSpaceDN w:val="0"/>
      <w:adjustRightInd w:val="0"/>
      <w:spacing w:before="18" w:after="0" w:line="288" w:lineRule="auto"/>
      <w:ind w:left="45"/>
      <w:textAlignment w:val="center"/>
    </w:pPr>
    <w:rPr>
      <w:rFonts w:ascii="Arial Narrow" w:eastAsia="Times New Roman" w:hAnsi="Arial Narrow" w:cs="Arial Narrow"/>
      <w:color w:val="000000"/>
      <w:sz w:val="18"/>
      <w:szCs w:val="18"/>
    </w:rPr>
  </w:style>
  <w:style w:type="character" w:customStyle="1" w:styleId="Heading4Char">
    <w:name w:val="Heading 4 Char"/>
    <w:basedOn w:val="DefaultParagraphFont"/>
    <w:link w:val="Heading4"/>
    <w:uiPriority w:val="9"/>
    <w:semiHidden/>
    <w:rsid w:val="0003152F"/>
    <w:rPr>
      <w:rFonts w:asciiTheme="majorHAnsi" w:eastAsiaTheme="majorEastAsia" w:hAnsiTheme="majorHAnsi" w:cstheme="majorBidi"/>
      <w:b/>
      <w:bCs/>
      <w:i/>
      <w:iCs/>
      <w:color w:val="4F81BD" w:themeColor="accent1"/>
      <w:sz w:val="22"/>
      <w:szCs w:val="22"/>
    </w:rPr>
  </w:style>
  <w:style w:type="paragraph" w:styleId="IntenseQuote">
    <w:name w:val="Intense Quote"/>
    <w:basedOn w:val="Normal"/>
    <w:next w:val="Normal"/>
    <w:link w:val="IntenseQuoteChar"/>
    <w:uiPriority w:val="30"/>
    <w:qFormat/>
    <w:rsid w:val="0003152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3152F"/>
    <w:rPr>
      <w:b/>
      <w:bCs/>
      <w:i/>
      <w:iCs/>
      <w:color w:val="4F81BD" w:themeColor="accent1"/>
      <w:sz w:val="22"/>
      <w:szCs w:val="22"/>
    </w:rPr>
  </w:style>
  <w:style w:type="paragraph" w:styleId="Header">
    <w:name w:val="header"/>
    <w:basedOn w:val="Normal"/>
    <w:link w:val="HeaderChar"/>
    <w:uiPriority w:val="99"/>
    <w:unhideWhenUsed/>
    <w:rsid w:val="00D854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452"/>
    <w:rPr>
      <w:sz w:val="22"/>
      <w:szCs w:val="22"/>
    </w:rPr>
  </w:style>
  <w:style w:type="paragraph" w:styleId="Footer">
    <w:name w:val="footer"/>
    <w:basedOn w:val="Normal"/>
    <w:link w:val="FooterChar"/>
    <w:uiPriority w:val="99"/>
    <w:unhideWhenUsed/>
    <w:rsid w:val="00D854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452"/>
    <w:rPr>
      <w:sz w:val="22"/>
      <w:szCs w:val="22"/>
    </w:rPr>
  </w:style>
  <w:style w:type="character" w:styleId="PlaceholderText">
    <w:name w:val="Placeholder Text"/>
    <w:basedOn w:val="DefaultParagraphFont"/>
    <w:uiPriority w:val="99"/>
    <w:semiHidden/>
    <w:rsid w:val="009D51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12302">
      <w:bodyDiv w:val="1"/>
      <w:marLeft w:val="0"/>
      <w:marRight w:val="0"/>
      <w:marTop w:val="0"/>
      <w:marBottom w:val="0"/>
      <w:divBdr>
        <w:top w:val="none" w:sz="0" w:space="0" w:color="auto"/>
        <w:left w:val="none" w:sz="0" w:space="0" w:color="auto"/>
        <w:bottom w:val="none" w:sz="0" w:space="0" w:color="auto"/>
        <w:right w:val="none" w:sz="0" w:space="0" w:color="auto"/>
      </w:divBdr>
    </w:div>
    <w:div w:id="991788145">
      <w:bodyDiv w:val="1"/>
      <w:marLeft w:val="0"/>
      <w:marRight w:val="0"/>
      <w:marTop w:val="0"/>
      <w:marBottom w:val="0"/>
      <w:divBdr>
        <w:top w:val="none" w:sz="0" w:space="0" w:color="auto"/>
        <w:left w:val="none" w:sz="0" w:space="0" w:color="auto"/>
        <w:bottom w:val="none" w:sz="0" w:space="0" w:color="auto"/>
        <w:right w:val="none" w:sz="0" w:space="0" w:color="auto"/>
      </w:divBdr>
    </w:div>
    <w:div w:id="1376352239">
      <w:bodyDiv w:val="1"/>
      <w:marLeft w:val="0"/>
      <w:marRight w:val="0"/>
      <w:marTop w:val="0"/>
      <w:marBottom w:val="0"/>
      <w:divBdr>
        <w:top w:val="none" w:sz="0" w:space="0" w:color="auto"/>
        <w:left w:val="none" w:sz="0" w:space="0" w:color="auto"/>
        <w:bottom w:val="none" w:sz="0" w:space="0" w:color="auto"/>
        <w:right w:val="none" w:sz="0" w:space="0" w:color="auto"/>
      </w:divBdr>
    </w:div>
    <w:div w:id="183468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chart" Target="charts/chart3.xml"/><Relationship Id="rId26" Type="http://schemas.openxmlformats.org/officeDocument/2006/relationships/chart" Target="charts/chart10.xml"/><Relationship Id="rId39"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chart" Target="charts/chart16.xml"/><Relationship Id="rId42" Type="http://schemas.openxmlformats.org/officeDocument/2006/relationships/chart" Target="charts/chart23.xml"/><Relationship Id="rId47" Type="http://schemas.openxmlformats.org/officeDocument/2006/relationships/footer" Target="footer1.xml"/><Relationship Id="rId50"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2.xml"/><Relationship Id="rId11" Type="http://schemas.openxmlformats.org/officeDocument/2006/relationships/image" Target="media/image2.jpeg"/><Relationship Id="rId24" Type="http://schemas.openxmlformats.org/officeDocument/2006/relationships/chart" Target="charts/chart8.xml"/><Relationship Id="rId32" Type="http://schemas.openxmlformats.org/officeDocument/2006/relationships/chart" Target="charts/chart15.xml"/><Relationship Id="rId37" Type="http://schemas.openxmlformats.org/officeDocument/2006/relationships/chart" Target="charts/chart19.xml"/><Relationship Id="rId40" Type="http://schemas.openxmlformats.org/officeDocument/2006/relationships/chart" Target="charts/chart21.xml"/><Relationship Id="rId45" Type="http://schemas.openxmlformats.org/officeDocument/2006/relationships/hyperlink" Target="mailto:rbg@shelbycountyengineer.com" TargetMode="External"/><Relationship Id="rId53" Type="http://schemas.openxmlformats.org/officeDocument/2006/relationships/customXml" Target="../customXml/item4.xml"/><Relationship Id="rId5"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chart" Target="charts/chart4.xml"/><Relationship Id="rId31" Type="http://schemas.openxmlformats.org/officeDocument/2006/relationships/chart" Target="charts/chart14.xml"/><Relationship Id="rId44" Type="http://schemas.openxmlformats.org/officeDocument/2006/relationships/chart" Target="charts/chart25.xml"/><Relationship Id="rId52"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chart" Target="charts/chart6.xml"/><Relationship Id="rId27" Type="http://schemas.openxmlformats.org/officeDocument/2006/relationships/image" Target="media/image7.png"/><Relationship Id="rId30" Type="http://schemas.openxmlformats.org/officeDocument/2006/relationships/chart" Target="charts/chart13.xml"/><Relationship Id="rId35" Type="http://schemas.openxmlformats.org/officeDocument/2006/relationships/chart" Target="charts/chart17.xml"/><Relationship Id="rId43" Type="http://schemas.openxmlformats.org/officeDocument/2006/relationships/chart" Target="charts/chart24.xml"/><Relationship Id="rId48"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image" Target="media/image8.png"/><Relationship Id="rId38" Type="http://schemas.openxmlformats.org/officeDocument/2006/relationships/chart" Target="charts/chart20.xml"/><Relationship Id="rId46" Type="http://schemas.openxmlformats.org/officeDocument/2006/relationships/hyperlink" Target="mailto:MICHELLE.MAY@DOT.STATE.OH.US" TargetMode="External"/><Relationship Id="rId20" Type="http://schemas.openxmlformats.org/officeDocument/2006/relationships/chart" Target="charts/chart5.xml"/><Relationship Id="rId41" Type="http://schemas.openxmlformats.org/officeDocument/2006/relationships/chart" Target="charts/chart22.xml"/><Relationship Id="rId54"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chart" Target="charts/chart18.xml"/><Relationship Id="rId4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http://www.dot.state.oh.us/Divisions/Planning/SPPM/SystemsPlanning/GCAT/CAM%20Tool%20Excel%202002-2003.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26_CAM_Tool_File.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25A_CAM_Tool_File.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25A_CAM_Tool_File.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25A_CAM_Tool_File.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25A_CAM_Tool_File.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25A_CAM_Tool_File.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8_CAM_Tool_File.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8_CAM_Tool_File.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8_CAM_Tool_File.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8_CAM_Tool_Fil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www.dot.state.oh.us/Divisions/Planning/SPPM/SystemsPlanning/GCAT/CAM%20Tool%20Excel%202002-2003.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8_CAM_Tool_File.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22_CAM_Tool_File.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22_CAM_Tool_File.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22_CAM_Tool_File.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22_CAM_Tool_File.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22_CAM_Tool_Fil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www.dot.state.oh.us/Divisions/Planning/SPPM/SystemsPlanning/GCAT/CAM%20Tool%20Excel%202002-200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45_CAM_Tool_File.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45_CAM_Tool_File.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26_CAM_Tool_File.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26_CAM_Tool_File.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26_CAM_Tool_File.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itcfs007\HOME\LTAP\RRSAA%20Program\Shelby%20County%20Documents\SHE-CR-26_CAM_Tool_Fil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pivotSource>
    <c:name>[CAM Tool Excel 2002-2003.xls]Data Analysis!year1</c:name>
    <c:fmtId val="-1"/>
  </c:pivotSource>
  <c:chart>
    <c:title>
      <c:tx>
        <c:rich>
          <a:bodyPr/>
          <a:lstStyle/>
          <a:p>
            <a:pPr>
              <a:defRPr sz="1680" b="1" i="0" u="none" strike="noStrike" baseline="0">
                <a:solidFill>
                  <a:srgbClr val="000000"/>
                </a:solidFill>
                <a:latin typeface="Calibri"/>
                <a:ea typeface="Calibri"/>
                <a:cs typeface="Calibri"/>
              </a:defRPr>
            </a:pPr>
            <a:r>
              <a:rPr lang="en-US"/>
              <a:t>Frequency of Crashes by Year</a:t>
            </a:r>
          </a:p>
        </c:rich>
      </c:tx>
      <c:layout/>
      <c:overlay val="0"/>
    </c:title>
    <c:autoTitleDeleted val="0"/>
    <c:pivotFmts>
      <c:pivotFmt>
        <c:idx val="0"/>
        <c:marker>
          <c:symbol val="none"/>
        </c:marker>
        <c:dLbl>
          <c:idx val="0"/>
          <c:spPr/>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dLbl>
      </c:pivotFmt>
      <c:pivotFmt>
        <c:idx val="1"/>
      </c:pivotFmt>
      <c:pivotFmt>
        <c:idx val="2"/>
      </c:pivotFmt>
      <c:pivotFmt>
        <c:idx val="3"/>
        <c:marker>
          <c:symbol val="none"/>
        </c:marker>
        <c:dLbl>
          <c:idx val="0"/>
          <c:spPr/>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dLbl>
      </c:pivotFmt>
      <c:pivotFmt>
        <c:idx val="4"/>
        <c:marker>
          <c:symbol val="none"/>
        </c:marker>
        <c:dLbl>
          <c:idx val="0"/>
          <c:spPr/>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dLbl>
      </c:pivotFmt>
    </c:pivotFmts>
    <c:view3D>
      <c:rotX val="45"/>
      <c:rotY val="0"/>
      <c:rAngAx val="0"/>
      <c:perspective val="0"/>
    </c:view3D>
    <c:floor>
      <c:thickness val="0"/>
    </c:floor>
    <c:sideWall>
      <c:thickness val="0"/>
    </c:sideWall>
    <c:backWall>
      <c:thickness val="0"/>
    </c:backWall>
    <c:plotArea>
      <c:layout/>
      <c:pie3DChart>
        <c:varyColors val="1"/>
        <c:ser>
          <c:idx val="0"/>
          <c:order val="0"/>
          <c:tx>
            <c:strRef>
              <c:f>'Data Analysis'!$G$9</c:f>
              <c:strCache>
                <c:ptCount val="1"/>
                <c:pt idx="0">
                  <c:v>Total</c:v>
                </c:pt>
              </c:strCache>
            </c:strRef>
          </c:tx>
          <c:dPt>
            <c:idx val="0"/>
            <c:bubble3D val="0"/>
          </c:dPt>
          <c:dPt>
            <c:idx val="1"/>
            <c:bubble3D val="0"/>
          </c:dPt>
          <c:dLbls>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showLeaderLines val="1"/>
            <c:leaderLines>
              <c:spPr>
                <a:ln>
                  <a:solidFill>
                    <a:sysClr val="windowText" lastClr="000000"/>
                  </a:solidFill>
                </a:ln>
              </c:spPr>
            </c:leaderLines>
          </c:dLbls>
          <c:cat>
            <c:strRef>
              <c:f>'Data Analysis'!$F$10:$F$16</c:f>
              <c:strCache>
                <c:ptCount val="6"/>
                <c:pt idx="0">
                  <c:v>2006</c:v>
                </c:pt>
                <c:pt idx="1">
                  <c:v>2007</c:v>
                </c:pt>
                <c:pt idx="2">
                  <c:v>2008</c:v>
                </c:pt>
                <c:pt idx="3">
                  <c:v>2009</c:v>
                </c:pt>
                <c:pt idx="4">
                  <c:v>2010</c:v>
                </c:pt>
                <c:pt idx="5">
                  <c:v>2011</c:v>
                </c:pt>
              </c:strCache>
            </c:strRef>
          </c:cat>
          <c:val>
            <c:numRef>
              <c:f>'Data Analysis'!$G$10:$G$16</c:f>
              <c:numCache>
                <c:formatCode>General</c:formatCode>
                <c:ptCount val="6"/>
                <c:pt idx="0">
                  <c:v>4</c:v>
                </c:pt>
                <c:pt idx="1">
                  <c:v>5</c:v>
                </c:pt>
                <c:pt idx="2">
                  <c:v>1</c:v>
                </c:pt>
                <c:pt idx="3">
                  <c:v>3</c:v>
                </c:pt>
                <c:pt idx="4">
                  <c:v>5</c:v>
                </c:pt>
                <c:pt idx="5">
                  <c:v>1</c:v>
                </c:pt>
              </c:numCache>
            </c:numRef>
          </c:val>
        </c:ser>
        <c:dLbls>
          <c:showLegendKey val="0"/>
          <c:showVal val="0"/>
          <c:showCatName val="0"/>
          <c:showSerName val="0"/>
          <c:showPercent val="0"/>
          <c:showBubbleSize val="0"/>
          <c:showLeaderLines val="1"/>
        </c:dLbls>
      </c:pie3DChart>
      <c:spPr>
        <a:noFill/>
        <a:ln w="25400">
          <a:noFill/>
        </a:ln>
      </c:spPr>
    </c:plotArea>
    <c:legend>
      <c:legendPos val="r"/>
      <c:layout/>
      <c:overlay val="0"/>
      <c:txPr>
        <a:bodyPr/>
        <a:lstStyle/>
        <a:p>
          <a:pPr>
            <a:defRPr sz="995" b="1" i="0" u="none" strike="noStrike" baseline="0">
              <a:solidFill>
                <a:srgbClr val="000000"/>
              </a:solidFill>
              <a:latin typeface="Calibri"/>
              <a:ea typeface="Calibri"/>
              <a:cs typeface="Calibri"/>
            </a:defRPr>
          </a:pPr>
          <a:endParaRPr lang="en-US"/>
        </a:p>
      </c:txPr>
    </c:legend>
    <c:plotVisOnly val="1"/>
    <c:dispBlanksAs val="zero"/>
    <c:showDLblsOverMax val="0"/>
  </c:chart>
  <c:spPr>
    <a:gradFill>
      <a:gsLst>
        <a:gs pos="24000">
          <a:sysClr val="window" lastClr="FFFFFF">
            <a:lumMod val="65000"/>
          </a:sysClr>
        </a:gs>
        <a:gs pos="100000">
          <a:srgbClr val="E6E6E6"/>
        </a:gs>
      </a:gsLst>
      <a:lin ang="16200000" scaled="0"/>
    </a:gradFill>
  </c:spPr>
  <c:txPr>
    <a:bodyPr/>
    <a:lstStyle/>
    <a:p>
      <a:pPr>
        <a:defRPr sz="14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pivotSource>
    <c:name>[SHE-CR-26_CAM_Tool_File.xls]Histograms!Crash_Type</c:name>
    <c:fmtId val="4"/>
  </c:pivotSource>
  <c:chart>
    <c:title>
      <c:tx>
        <c:rich>
          <a:bodyPr/>
          <a:lstStyle/>
          <a:p>
            <a:pPr>
              <a:defRPr sz="1440" b="1" i="0" u="none" strike="noStrike" baseline="0">
                <a:solidFill>
                  <a:srgbClr val="000000"/>
                </a:solidFill>
                <a:latin typeface="Calibri"/>
                <a:ea typeface="Calibri"/>
                <a:cs typeface="Calibri"/>
              </a:defRPr>
            </a:pPr>
            <a:r>
              <a:rPr lang="en-US"/>
              <a:t>Location Frequency Chart by Type of Crash</a:t>
            </a: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s>
    <c:plotArea>
      <c:layout/>
      <c:barChart>
        <c:barDir val="col"/>
        <c:grouping val="stacked"/>
        <c:varyColors val="0"/>
        <c:ser>
          <c:idx val="0"/>
          <c:order val="0"/>
          <c:tx>
            <c:strRef>
              <c:f>Histograms!$AP$2:$AP$3</c:f>
              <c:strCache>
                <c:ptCount val="1"/>
                <c:pt idx="0">
                  <c:v>Animal</c:v>
                </c:pt>
              </c:strCache>
            </c:strRef>
          </c:tx>
          <c:invertIfNegative val="0"/>
          <c:cat>
            <c:strRef>
              <c:f>Histograms!$AO$4:$AO$14</c:f>
              <c:strCache>
                <c:ptCount val="10"/>
                <c:pt idx="0">
                  <c:v>0.98-1.08</c:v>
                </c:pt>
                <c:pt idx="1">
                  <c:v>1.08-1.18</c:v>
                </c:pt>
                <c:pt idx="2">
                  <c:v>1.18-1.28</c:v>
                </c:pt>
                <c:pt idx="3">
                  <c:v>1.38-1.48</c:v>
                </c:pt>
                <c:pt idx="4">
                  <c:v>1.48-1.58</c:v>
                </c:pt>
                <c:pt idx="5">
                  <c:v>1.58-1.68</c:v>
                </c:pt>
                <c:pt idx="6">
                  <c:v>1.68-1.78</c:v>
                </c:pt>
                <c:pt idx="7">
                  <c:v>1.78-1.88</c:v>
                </c:pt>
                <c:pt idx="8">
                  <c:v>1.88-1.98</c:v>
                </c:pt>
                <c:pt idx="9">
                  <c:v>1.98-2.08</c:v>
                </c:pt>
              </c:strCache>
            </c:strRef>
          </c:cat>
          <c:val>
            <c:numRef>
              <c:f>Histograms!$AP$4:$AP$14</c:f>
              <c:numCache>
                <c:formatCode>General</c:formatCode>
                <c:ptCount val="10"/>
                <c:pt idx="1">
                  <c:v>1</c:v>
                </c:pt>
                <c:pt idx="2">
                  <c:v>1</c:v>
                </c:pt>
                <c:pt idx="5">
                  <c:v>4</c:v>
                </c:pt>
                <c:pt idx="6">
                  <c:v>1</c:v>
                </c:pt>
              </c:numCache>
            </c:numRef>
          </c:val>
        </c:ser>
        <c:ser>
          <c:idx val="1"/>
          <c:order val="1"/>
          <c:tx>
            <c:strRef>
              <c:f>Histograms!$AQ$2:$AQ$3</c:f>
              <c:strCache>
                <c:ptCount val="1"/>
                <c:pt idx="0">
                  <c:v>Fixed Object</c:v>
                </c:pt>
              </c:strCache>
            </c:strRef>
          </c:tx>
          <c:invertIfNegative val="0"/>
          <c:cat>
            <c:strRef>
              <c:f>Histograms!$AO$4:$AO$14</c:f>
              <c:strCache>
                <c:ptCount val="10"/>
                <c:pt idx="0">
                  <c:v>0.98-1.08</c:v>
                </c:pt>
                <c:pt idx="1">
                  <c:v>1.08-1.18</c:v>
                </c:pt>
                <c:pt idx="2">
                  <c:v>1.18-1.28</c:v>
                </c:pt>
                <c:pt idx="3">
                  <c:v>1.38-1.48</c:v>
                </c:pt>
                <c:pt idx="4">
                  <c:v>1.48-1.58</c:v>
                </c:pt>
                <c:pt idx="5">
                  <c:v>1.58-1.68</c:v>
                </c:pt>
                <c:pt idx="6">
                  <c:v>1.68-1.78</c:v>
                </c:pt>
                <c:pt idx="7">
                  <c:v>1.78-1.88</c:v>
                </c:pt>
                <c:pt idx="8">
                  <c:v>1.88-1.98</c:v>
                </c:pt>
                <c:pt idx="9">
                  <c:v>1.98-2.08</c:v>
                </c:pt>
              </c:strCache>
            </c:strRef>
          </c:cat>
          <c:val>
            <c:numRef>
              <c:f>Histograms!$AQ$4:$AQ$14</c:f>
              <c:numCache>
                <c:formatCode>General</c:formatCode>
                <c:ptCount val="10"/>
                <c:pt idx="0">
                  <c:v>2</c:v>
                </c:pt>
                <c:pt idx="1">
                  <c:v>1</c:v>
                </c:pt>
                <c:pt idx="3">
                  <c:v>1</c:v>
                </c:pt>
                <c:pt idx="6">
                  <c:v>2</c:v>
                </c:pt>
              </c:numCache>
            </c:numRef>
          </c:val>
        </c:ser>
        <c:ser>
          <c:idx val="2"/>
          <c:order val="2"/>
          <c:tx>
            <c:strRef>
              <c:f>Histograms!$AR$2:$AR$3</c:f>
              <c:strCache>
                <c:ptCount val="1"/>
                <c:pt idx="0">
                  <c:v>Angle</c:v>
                </c:pt>
              </c:strCache>
            </c:strRef>
          </c:tx>
          <c:invertIfNegative val="0"/>
          <c:cat>
            <c:strRef>
              <c:f>Histograms!$AO$4:$AO$14</c:f>
              <c:strCache>
                <c:ptCount val="10"/>
                <c:pt idx="0">
                  <c:v>0.98-1.08</c:v>
                </c:pt>
                <c:pt idx="1">
                  <c:v>1.08-1.18</c:v>
                </c:pt>
                <c:pt idx="2">
                  <c:v>1.18-1.28</c:v>
                </c:pt>
                <c:pt idx="3">
                  <c:v>1.38-1.48</c:v>
                </c:pt>
                <c:pt idx="4">
                  <c:v>1.48-1.58</c:v>
                </c:pt>
                <c:pt idx="5">
                  <c:v>1.58-1.68</c:v>
                </c:pt>
                <c:pt idx="6">
                  <c:v>1.68-1.78</c:v>
                </c:pt>
                <c:pt idx="7">
                  <c:v>1.78-1.88</c:v>
                </c:pt>
                <c:pt idx="8">
                  <c:v>1.88-1.98</c:v>
                </c:pt>
                <c:pt idx="9">
                  <c:v>1.98-2.08</c:v>
                </c:pt>
              </c:strCache>
            </c:strRef>
          </c:cat>
          <c:val>
            <c:numRef>
              <c:f>Histograms!$AR$4:$AR$14</c:f>
              <c:numCache>
                <c:formatCode>General</c:formatCode>
                <c:ptCount val="10"/>
                <c:pt idx="0">
                  <c:v>1</c:v>
                </c:pt>
                <c:pt idx="4">
                  <c:v>1</c:v>
                </c:pt>
                <c:pt idx="8">
                  <c:v>1</c:v>
                </c:pt>
                <c:pt idx="9">
                  <c:v>1</c:v>
                </c:pt>
              </c:numCache>
            </c:numRef>
          </c:val>
        </c:ser>
        <c:ser>
          <c:idx val="3"/>
          <c:order val="3"/>
          <c:tx>
            <c:strRef>
              <c:f>Histograms!$AS$2:$AS$3</c:f>
              <c:strCache>
                <c:ptCount val="1"/>
                <c:pt idx="0">
                  <c:v>Parked Vehicle</c:v>
                </c:pt>
              </c:strCache>
            </c:strRef>
          </c:tx>
          <c:invertIfNegative val="0"/>
          <c:cat>
            <c:strRef>
              <c:f>Histograms!$AO$4:$AO$14</c:f>
              <c:strCache>
                <c:ptCount val="10"/>
                <c:pt idx="0">
                  <c:v>0.98-1.08</c:v>
                </c:pt>
                <c:pt idx="1">
                  <c:v>1.08-1.18</c:v>
                </c:pt>
                <c:pt idx="2">
                  <c:v>1.18-1.28</c:v>
                </c:pt>
                <c:pt idx="3">
                  <c:v>1.38-1.48</c:v>
                </c:pt>
                <c:pt idx="4">
                  <c:v>1.48-1.58</c:v>
                </c:pt>
                <c:pt idx="5">
                  <c:v>1.58-1.68</c:v>
                </c:pt>
                <c:pt idx="6">
                  <c:v>1.68-1.78</c:v>
                </c:pt>
                <c:pt idx="7">
                  <c:v>1.78-1.88</c:v>
                </c:pt>
                <c:pt idx="8">
                  <c:v>1.88-1.98</c:v>
                </c:pt>
                <c:pt idx="9">
                  <c:v>1.98-2.08</c:v>
                </c:pt>
              </c:strCache>
            </c:strRef>
          </c:cat>
          <c:val>
            <c:numRef>
              <c:f>Histograms!$AS$4:$AS$14</c:f>
              <c:numCache>
                <c:formatCode>General</c:formatCode>
                <c:ptCount val="10"/>
                <c:pt idx="5">
                  <c:v>3</c:v>
                </c:pt>
              </c:numCache>
            </c:numRef>
          </c:val>
        </c:ser>
        <c:ser>
          <c:idx val="4"/>
          <c:order val="4"/>
          <c:tx>
            <c:strRef>
              <c:f>Histograms!$AT$2:$AT$3</c:f>
              <c:strCache>
                <c:ptCount val="1"/>
                <c:pt idx="0">
                  <c:v>Other Non-Collision</c:v>
                </c:pt>
              </c:strCache>
            </c:strRef>
          </c:tx>
          <c:invertIfNegative val="0"/>
          <c:cat>
            <c:strRef>
              <c:f>Histograms!$AO$4:$AO$14</c:f>
              <c:strCache>
                <c:ptCount val="10"/>
                <c:pt idx="0">
                  <c:v>0.98-1.08</c:v>
                </c:pt>
                <c:pt idx="1">
                  <c:v>1.08-1.18</c:v>
                </c:pt>
                <c:pt idx="2">
                  <c:v>1.18-1.28</c:v>
                </c:pt>
                <c:pt idx="3">
                  <c:v>1.38-1.48</c:v>
                </c:pt>
                <c:pt idx="4">
                  <c:v>1.48-1.58</c:v>
                </c:pt>
                <c:pt idx="5">
                  <c:v>1.58-1.68</c:v>
                </c:pt>
                <c:pt idx="6">
                  <c:v>1.68-1.78</c:v>
                </c:pt>
                <c:pt idx="7">
                  <c:v>1.78-1.88</c:v>
                </c:pt>
                <c:pt idx="8">
                  <c:v>1.88-1.98</c:v>
                </c:pt>
                <c:pt idx="9">
                  <c:v>1.98-2.08</c:v>
                </c:pt>
              </c:strCache>
            </c:strRef>
          </c:cat>
          <c:val>
            <c:numRef>
              <c:f>Histograms!$AT$4:$AT$14</c:f>
              <c:numCache>
                <c:formatCode>General</c:formatCode>
                <c:ptCount val="10"/>
                <c:pt idx="7">
                  <c:v>1</c:v>
                </c:pt>
              </c:numCache>
            </c:numRef>
          </c:val>
        </c:ser>
        <c:ser>
          <c:idx val="5"/>
          <c:order val="5"/>
          <c:tx>
            <c:strRef>
              <c:f>Histograms!$AU$2:$AU$3</c:f>
              <c:strCache>
                <c:ptCount val="1"/>
                <c:pt idx="0">
                  <c:v>Pedestrian</c:v>
                </c:pt>
              </c:strCache>
            </c:strRef>
          </c:tx>
          <c:invertIfNegative val="0"/>
          <c:cat>
            <c:strRef>
              <c:f>Histograms!$AO$4:$AO$14</c:f>
              <c:strCache>
                <c:ptCount val="10"/>
                <c:pt idx="0">
                  <c:v>0.98-1.08</c:v>
                </c:pt>
                <c:pt idx="1">
                  <c:v>1.08-1.18</c:v>
                </c:pt>
                <c:pt idx="2">
                  <c:v>1.18-1.28</c:v>
                </c:pt>
                <c:pt idx="3">
                  <c:v>1.38-1.48</c:v>
                </c:pt>
                <c:pt idx="4">
                  <c:v>1.48-1.58</c:v>
                </c:pt>
                <c:pt idx="5">
                  <c:v>1.58-1.68</c:v>
                </c:pt>
                <c:pt idx="6">
                  <c:v>1.68-1.78</c:v>
                </c:pt>
                <c:pt idx="7">
                  <c:v>1.78-1.88</c:v>
                </c:pt>
                <c:pt idx="8">
                  <c:v>1.88-1.98</c:v>
                </c:pt>
                <c:pt idx="9">
                  <c:v>1.98-2.08</c:v>
                </c:pt>
              </c:strCache>
            </c:strRef>
          </c:cat>
          <c:val>
            <c:numRef>
              <c:f>Histograms!$AU$4:$AU$14</c:f>
              <c:numCache>
                <c:formatCode>General</c:formatCode>
                <c:ptCount val="10"/>
                <c:pt idx="5">
                  <c:v>1</c:v>
                </c:pt>
              </c:numCache>
            </c:numRef>
          </c:val>
        </c:ser>
        <c:dLbls>
          <c:showLegendKey val="0"/>
          <c:showVal val="0"/>
          <c:showCatName val="0"/>
          <c:showSerName val="0"/>
          <c:showPercent val="0"/>
          <c:showBubbleSize val="0"/>
        </c:dLbls>
        <c:gapWidth val="150"/>
        <c:overlap val="100"/>
        <c:axId val="80838656"/>
        <c:axId val="80840576"/>
      </c:barChart>
      <c:catAx>
        <c:axId val="80838656"/>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en-US"/>
                  <a:t>Logpoint</a:t>
                </a:r>
              </a:p>
            </c:rich>
          </c:tx>
          <c:layout/>
          <c:overlay val="0"/>
        </c:title>
        <c:numFmt formatCode="General" sourceLinked="1"/>
        <c:majorTickMark val="out"/>
        <c:minorTickMark val="none"/>
        <c:tickLblPos val="nextTo"/>
        <c:txPr>
          <a:bodyPr rot="-5400000" vert="horz"/>
          <a:lstStyle/>
          <a:p>
            <a:pPr>
              <a:defRPr sz="1200" b="1" i="0" u="none" strike="noStrike" baseline="0">
                <a:solidFill>
                  <a:srgbClr val="000000"/>
                </a:solidFill>
                <a:latin typeface="Calibri"/>
                <a:ea typeface="Calibri"/>
                <a:cs typeface="Calibri"/>
              </a:defRPr>
            </a:pPr>
            <a:endParaRPr lang="en-US"/>
          </a:p>
        </c:txPr>
        <c:crossAx val="80840576"/>
        <c:crosses val="autoZero"/>
        <c:auto val="0"/>
        <c:lblAlgn val="ctr"/>
        <c:lblOffset val="100"/>
        <c:tickLblSkip val="1"/>
        <c:tickMarkSkip val="1"/>
        <c:noMultiLvlLbl val="0"/>
      </c:catAx>
      <c:valAx>
        <c:axId val="80840576"/>
        <c:scaling>
          <c:orientation val="minMax"/>
        </c:scaling>
        <c:delete val="0"/>
        <c:axPos val="l"/>
        <c:majorGridlines/>
        <c:title>
          <c:tx>
            <c:rich>
              <a:bodyPr/>
              <a:lstStyle/>
              <a:p>
                <a:pPr>
                  <a:defRPr sz="1200" b="1" i="0" u="none" strike="noStrike" baseline="0">
                    <a:solidFill>
                      <a:srgbClr val="000000"/>
                    </a:solidFill>
                    <a:latin typeface="Calibri"/>
                    <a:ea typeface="Calibri"/>
                    <a:cs typeface="Calibri"/>
                  </a:defRPr>
                </a:pPr>
                <a:r>
                  <a:rPr lang="en-US"/>
                  <a:t>Number of Crashes</a:t>
                </a:r>
              </a:p>
            </c:rich>
          </c:tx>
          <c:layout/>
          <c:overlay val="0"/>
        </c:title>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80838656"/>
        <c:crosses val="autoZero"/>
        <c:crossBetween val="between"/>
      </c:valAx>
    </c:plotArea>
    <c:legend>
      <c:legendPos val="r"/>
      <c:layout/>
      <c:overlay val="0"/>
      <c:txPr>
        <a:bodyPr/>
        <a:lstStyle/>
        <a:p>
          <a:pPr>
            <a:defRPr sz="85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pivotSource>
    <c:name>[SHE-CR-25A_CAM_Tool_File.xls]Data Analysis!year1</c:name>
    <c:fmtId val="4"/>
  </c:pivotSource>
  <c:chart>
    <c:title>
      <c:tx>
        <c:rich>
          <a:bodyPr/>
          <a:lstStyle/>
          <a:p>
            <a:pPr>
              <a:defRPr sz="1680" b="1" i="0" u="none" strike="noStrike" baseline="0">
                <a:solidFill>
                  <a:srgbClr val="000000"/>
                </a:solidFill>
                <a:latin typeface="Calibri"/>
                <a:ea typeface="Calibri"/>
                <a:cs typeface="Calibri"/>
              </a:defRPr>
            </a:pPr>
            <a:r>
              <a:rPr lang="en-US"/>
              <a:t>Frequency of Crashes by Year</a:t>
            </a:r>
          </a:p>
        </c:rich>
      </c:tx>
      <c:layout/>
      <c:overlay val="0"/>
    </c:title>
    <c:autoTitleDeleted val="0"/>
    <c:pivotFmts>
      <c:pivotFmt>
        <c:idx val="0"/>
        <c:marker>
          <c:symbol val="none"/>
        </c:marker>
        <c:dLbl>
          <c:idx val="0"/>
          <c:spPr/>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dLbl>
      </c:pivotFmt>
      <c:pivotFmt>
        <c:idx val="1"/>
      </c:pivotFmt>
      <c:pivotFmt>
        <c:idx val="2"/>
      </c:pivotFmt>
      <c:pivotFmt>
        <c:idx val="3"/>
        <c:marker>
          <c:symbol val="none"/>
        </c:marker>
        <c:dLbl>
          <c:idx val="0"/>
          <c:spPr/>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dLbl>
      </c:pivotFmt>
      <c:pivotFmt>
        <c:idx val="4"/>
        <c:marker>
          <c:symbol val="none"/>
        </c:marker>
        <c:dLbl>
          <c:idx val="0"/>
          <c:spPr/>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dLbl>
      </c:pivotFmt>
    </c:pivotFmts>
    <c:view3D>
      <c:rotX val="45"/>
      <c:rotY val="0"/>
      <c:rAngAx val="0"/>
      <c:perspective val="0"/>
    </c:view3D>
    <c:floor>
      <c:thickness val="0"/>
    </c:floor>
    <c:sideWall>
      <c:thickness val="0"/>
    </c:sideWall>
    <c:backWall>
      <c:thickness val="0"/>
    </c:backWall>
    <c:plotArea>
      <c:layout/>
      <c:pie3DChart>
        <c:varyColors val="1"/>
        <c:ser>
          <c:idx val="0"/>
          <c:order val="0"/>
          <c:tx>
            <c:strRef>
              <c:f>'Data Analysis'!$G$9</c:f>
              <c:strCache>
                <c:ptCount val="1"/>
                <c:pt idx="0">
                  <c:v>Total</c:v>
                </c:pt>
              </c:strCache>
            </c:strRef>
          </c:tx>
          <c:dPt>
            <c:idx val="0"/>
            <c:bubble3D val="0"/>
          </c:dPt>
          <c:dPt>
            <c:idx val="1"/>
            <c:bubble3D val="0"/>
          </c:dPt>
          <c:dLbls>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showLeaderLines val="1"/>
            <c:leaderLines>
              <c:spPr>
                <a:ln>
                  <a:solidFill>
                    <a:sysClr val="windowText" lastClr="000000"/>
                  </a:solidFill>
                </a:ln>
              </c:spPr>
            </c:leaderLines>
          </c:dLbls>
          <c:cat>
            <c:strRef>
              <c:f>'Data Analysis'!$F$10:$F$17</c:f>
              <c:strCache>
                <c:ptCount val="7"/>
                <c:pt idx="0">
                  <c:v>2006</c:v>
                </c:pt>
                <c:pt idx="1">
                  <c:v>2007</c:v>
                </c:pt>
                <c:pt idx="2">
                  <c:v>2008</c:v>
                </c:pt>
                <c:pt idx="3">
                  <c:v>2009</c:v>
                </c:pt>
                <c:pt idx="4">
                  <c:v>2010</c:v>
                </c:pt>
                <c:pt idx="5">
                  <c:v>2011</c:v>
                </c:pt>
                <c:pt idx="6">
                  <c:v>2012</c:v>
                </c:pt>
              </c:strCache>
            </c:strRef>
          </c:cat>
          <c:val>
            <c:numRef>
              <c:f>'Data Analysis'!$G$10:$G$17</c:f>
              <c:numCache>
                <c:formatCode>General</c:formatCode>
                <c:ptCount val="7"/>
                <c:pt idx="0">
                  <c:v>14</c:v>
                </c:pt>
                <c:pt idx="1">
                  <c:v>19</c:v>
                </c:pt>
                <c:pt idx="2">
                  <c:v>15</c:v>
                </c:pt>
                <c:pt idx="3">
                  <c:v>10</c:v>
                </c:pt>
                <c:pt idx="4">
                  <c:v>10</c:v>
                </c:pt>
                <c:pt idx="5">
                  <c:v>13</c:v>
                </c:pt>
                <c:pt idx="6">
                  <c:v>2</c:v>
                </c:pt>
              </c:numCache>
            </c:numRef>
          </c:val>
        </c:ser>
        <c:dLbls>
          <c:showLegendKey val="0"/>
          <c:showVal val="0"/>
          <c:showCatName val="0"/>
          <c:showSerName val="0"/>
          <c:showPercent val="0"/>
          <c:showBubbleSize val="0"/>
          <c:showLeaderLines val="1"/>
        </c:dLbls>
      </c:pie3DChart>
      <c:spPr>
        <a:noFill/>
        <a:ln w="25400">
          <a:noFill/>
        </a:ln>
      </c:spPr>
    </c:plotArea>
    <c:legend>
      <c:legendPos val="r"/>
      <c:layout/>
      <c:overlay val="0"/>
      <c:txPr>
        <a:bodyPr/>
        <a:lstStyle/>
        <a:p>
          <a:pPr>
            <a:defRPr sz="995" b="1" i="0" u="none" strike="noStrike" baseline="0">
              <a:solidFill>
                <a:srgbClr val="000000"/>
              </a:solidFill>
              <a:latin typeface="Calibri"/>
              <a:ea typeface="Calibri"/>
              <a:cs typeface="Calibri"/>
            </a:defRPr>
          </a:pPr>
          <a:endParaRPr lang="en-US"/>
        </a:p>
      </c:txPr>
    </c:legend>
    <c:plotVisOnly val="1"/>
    <c:dispBlanksAs val="zero"/>
    <c:showDLblsOverMax val="0"/>
  </c:chart>
  <c:spPr>
    <a:gradFill>
      <a:gsLst>
        <a:gs pos="24000">
          <a:sysClr val="window" lastClr="FFFFFF">
            <a:lumMod val="65000"/>
          </a:sysClr>
        </a:gs>
        <a:gs pos="100000">
          <a:srgbClr val="E6E6E6"/>
        </a:gs>
      </a:gsLst>
      <a:lin ang="16200000" scaled="0"/>
    </a:gradFill>
  </c:spPr>
  <c:txPr>
    <a:bodyPr/>
    <a:lstStyle/>
    <a:p>
      <a:pPr>
        <a:defRPr sz="14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pivotSource>
    <c:name>[SHE-CR-25A_CAM_Tool_File.xls]Data Analysis!sevyear</c:name>
    <c:fmtId val="4"/>
  </c:pivotSource>
  <c:chart>
    <c:title>
      <c:tx>
        <c:rich>
          <a:bodyPr/>
          <a:lstStyle/>
          <a:p>
            <a:pPr>
              <a:defRPr sz="1440" b="1" i="0" u="none" strike="noStrike" baseline="0">
                <a:solidFill>
                  <a:srgbClr val="000000"/>
                </a:solidFill>
                <a:latin typeface="Calibri"/>
                <a:ea typeface="Calibri"/>
                <a:cs typeface="Calibri"/>
              </a:defRPr>
            </a:pPr>
            <a:r>
              <a:rPr lang="en-US"/>
              <a:t>Frequency of Crashes by Year and Severity</a:t>
            </a: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varyColors val="0"/>
        <c:ser>
          <c:idx val="0"/>
          <c:order val="0"/>
          <c:tx>
            <c:strRef>
              <c:f>'Data Analysis'!$L$3:$L$4</c:f>
              <c:strCache>
                <c:ptCount val="1"/>
                <c:pt idx="0">
                  <c:v>Property Damage Crash</c:v>
                </c:pt>
              </c:strCache>
            </c:strRef>
          </c:tx>
          <c:invertIfNegative val="0"/>
          <c:cat>
            <c:strRef>
              <c:f>'Data Analysis'!$K$5:$K$12</c:f>
              <c:strCache>
                <c:ptCount val="7"/>
                <c:pt idx="0">
                  <c:v>2006</c:v>
                </c:pt>
                <c:pt idx="1">
                  <c:v>2007</c:v>
                </c:pt>
                <c:pt idx="2">
                  <c:v>2008</c:v>
                </c:pt>
                <c:pt idx="3">
                  <c:v>2009</c:v>
                </c:pt>
                <c:pt idx="4">
                  <c:v>2010</c:v>
                </c:pt>
                <c:pt idx="5">
                  <c:v>2011</c:v>
                </c:pt>
                <c:pt idx="6">
                  <c:v>2012</c:v>
                </c:pt>
              </c:strCache>
            </c:strRef>
          </c:cat>
          <c:val>
            <c:numRef>
              <c:f>'Data Analysis'!$L$5:$L$12</c:f>
              <c:numCache>
                <c:formatCode>General</c:formatCode>
                <c:ptCount val="7"/>
                <c:pt idx="0">
                  <c:v>12</c:v>
                </c:pt>
                <c:pt idx="1">
                  <c:v>15</c:v>
                </c:pt>
                <c:pt idx="2">
                  <c:v>11</c:v>
                </c:pt>
                <c:pt idx="3">
                  <c:v>5</c:v>
                </c:pt>
                <c:pt idx="4">
                  <c:v>9</c:v>
                </c:pt>
                <c:pt idx="5">
                  <c:v>11</c:v>
                </c:pt>
                <c:pt idx="6">
                  <c:v>2</c:v>
                </c:pt>
              </c:numCache>
            </c:numRef>
          </c:val>
        </c:ser>
        <c:ser>
          <c:idx val="1"/>
          <c:order val="1"/>
          <c:tx>
            <c:strRef>
              <c:f>'Data Analysis'!$M$3:$M$4</c:f>
              <c:strCache>
                <c:ptCount val="1"/>
                <c:pt idx="0">
                  <c:v>Injury Crash</c:v>
                </c:pt>
              </c:strCache>
            </c:strRef>
          </c:tx>
          <c:invertIfNegative val="0"/>
          <c:cat>
            <c:strRef>
              <c:f>'Data Analysis'!$K$5:$K$12</c:f>
              <c:strCache>
                <c:ptCount val="7"/>
                <c:pt idx="0">
                  <c:v>2006</c:v>
                </c:pt>
                <c:pt idx="1">
                  <c:v>2007</c:v>
                </c:pt>
                <c:pt idx="2">
                  <c:v>2008</c:v>
                </c:pt>
                <c:pt idx="3">
                  <c:v>2009</c:v>
                </c:pt>
                <c:pt idx="4">
                  <c:v>2010</c:v>
                </c:pt>
                <c:pt idx="5">
                  <c:v>2011</c:v>
                </c:pt>
                <c:pt idx="6">
                  <c:v>2012</c:v>
                </c:pt>
              </c:strCache>
            </c:strRef>
          </c:cat>
          <c:val>
            <c:numRef>
              <c:f>'Data Analysis'!$M$5:$M$12</c:f>
              <c:numCache>
                <c:formatCode>General</c:formatCode>
                <c:ptCount val="7"/>
                <c:pt idx="0">
                  <c:v>2</c:v>
                </c:pt>
                <c:pt idx="1">
                  <c:v>4</c:v>
                </c:pt>
                <c:pt idx="2">
                  <c:v>4</c:v>
                </c:pt>
                <c:pt idx="3">
                  <c:v>5</c:v>
                </c:pt>
                <c:pt idx="4">
                  <c:v>0</c:v>
                </c:pt>
                <c:pt idx="5">
                  <c:v>2</c:v>
                </c:pt>
                <c:pt idx="6">
                  <c:v>0</c:v>
                </c:pt>
              </c:numCache>
            </c:numRef>
          </c:val>
        </c:ser>
        <c:ser>
          <c:idx val="2"/>
          <c:order val="2"/>
          <c:tx>
            <c:strRef>
              <c:f>'Data Analysis'!$N$3:$N$4</c:f>
              <c:strCache>
                <c:ptCount val="1"/>
                <c:pt idx="0">
                  <c:v>Fatal Crash</c:v>
                </c:pt>
              </c:strCache>
            </c:strRef>
          </c:tx>
          <c:invertIfNegative val="0"/>
          <c:cat>
            <c:strRef>
              <c:f>'Data Analysis'!$K$5:$K$12</c:f>
              <c:strCache>
                <c:ptCount val="7"/>
                <c:pt idx="0">
                  <c:v>2006</c:v>
                </c:pt>
                <c:pt idx="1">
                  <c:v>2007</c:v>
                </c:pt>
                <c:pt idx="2">
                  <c:v>2008</c:v>
                </c:pt>
                <c:pt idx="3">
                  <c:v>2009</c:v>
                </c:pt>
                <c:pt idx="4">
                  <c:v>2010</c:v>
                </c:pt>
                <c:pt idx="5">
                  <c:v>2011</c:v>
                </c:pt>
                <c:pt idx="6">
                  <c:v>2012</c:v>
                </c:pt>
              </c:strCache>
            </c:strRef>
          </c:cat>
          <c:val>
            <c:numRef>
              <c:f>'Data Analysis'!$N$5:$N$12</c:f>
              <c:numCache>
                <c:formatCode>General</c:formatCode>
                <c:ptCount val="7"/>
                <c:pt idx="0">
                  <c:v>0</c:v>
                </c:pt>
                <c:pt idx="1">
                  <c:v>0</c:v>
                </c:pt>
                <c:pt idx="2">
                  <c:v>0</c:v>
                </c:pt>
                <c:pt idx="3">
                  <c:v>0</c:v>
                </c:pt>
                <c:pt idx="4">
                  <c:v>1</c:v>
                </c:pt>
                <c:pt idx="5">
                  <c:v>0</c:v>
                </c:pt>
                <c:pt idx="6">
                  <c:v>0</c:v>
                </c:pt>
              </c:numCache>
            </c:numRef>
          </c:val>
        </c:ser>
        <c:dLbls>
          <c:showLegendKey val="0"/>
          <c:showVal val="0"/>
          <c:showCatName val="0"/>
          <c:showSerName val="0"/>
          <c:showPercent val="0"/>
          <c:showBubbleSize val="0"/>
        </c:dLbls>
        <c:gapWidth val="150"/>
        <c:axId val="80315520"/>
        <c:axId val="80317056"/>
      </c:barChart>
      <c:catAx>
        <c:axId val="80315520"/>
        <c:scaling>
          <c:orientation val="minMax"/>
        </c:scaling>
        <c:delete val="0"/>
        <c:axPos val="b"/>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80317056"/>
        <c:crosses val="autoZero"/>
        <c:auto val="0"/>
        <c:lblAlgn val="ctr"/>
        <c:lblOffset val="200"/>
        <c:tickLblSkip val="1"/>
        <c:tickMarkSkip val="1"/>
        <c:noMultiLvlLbl val="0"/>
      </c:catAx>
      <c:valAx>
        <c:axId val="80317056"/>
        <c:scaling>
          <c:orientation val="minMax"/>
        </c:scaling>
        <c:delete val="0"/>
        <c:axPos val="l"/>
        <c:majorGridlines/>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80315520"/>
        <c:crosses val="autoZero"/>
        <c:crossBetween val="between"/>
      </c:valAx>
    </c:plotArea>
    <c:legend>
      <c:legendPos val="b"/>
      <c:layout/>
      <c:overlay val="0"/>
      <c:txPr>
        <a:bodyPr/>
        <a:lstStyle/>
        <a:p>
          <a:pPr>
            <a:defRPr sz="85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pivotSource>
    <c:name>[SHE-CR-25A_CAM_Tool_File.xls]Data Analysis!hour1</c:name>
    <c:fmtId val="4"/>
  </c:pivotSource>
  <c:chart>
    <c:title>
      <c:tx>
        <c:rich>
          <a:bodyPr/>
          <a:lstStyle/>
          <a:p>
            <a:pPr>
              <a:defRPr sz="1440" b="1" i="0" u="none" strike="noStrike" baseline="0">
                <a:solidFill>
                  <a:srgbClr val="000000"/>
                </a:solidFill>
                <a:latin typeface="Calibri"/>
                <a:ea typeface="Calibri"/>
                <a:cs typeface="Calibri"/>
              </a:defRPr>
            </a:pPr>
            <a:r>
              <a:rPr lang="en-US"/>
              <a:t>Frequency of Crashes by Hour</a:t>
            </a:r>
          </a:p>
        </c:rich>
      </c:tx>
      <c:layout/>
      <c:overlay val="0"/>
    </c:title>
    <c:autoTitleDeleted val="0"/>
    <c:pivotFmts>
      <c:pivotFmt>
        <c:idx val="0"/>
        <c:marker>
          <c:symbol val="none"/>
        </c:marker>
      </c:pivotFmt>
      <c:pivotFmt>
        <c:idx val="1"/>
        <c:marker>
          <c:symbol val="none"/>
        </c:marker>
      </c:pivotFmt>
      <c:pivotFmt>
        <c:idx val="2"/>
        <c:marker>
          <c:symbol val="none"/>
        </c:marker>
      </c:pivotFmt>
    </c:pivotFmts>
    <c:plotArea>
      <c:layout/>
      <c:barChart>
        <c:barDir val="col"/>
        <c:grouping val="stacked"/>
        <c:varyColors val="0"/>
        <c:ser>
          <c:idx val="0"/>
          <c:order val="0"/>
          <c:tx>
            <c:strRef>
              <c:f>'Data Analysis'!$B$29</c:f>
              <c:strCache>
                <c:ptCount val="1"/>
                <c:pt idx="0">
                  <c:v>Total</c:v>
                </c:pt>
              </c:strCache>
            </c:strRef>
          </c:tx>
          <c:invertIfNegative val="0"/>
          <c:cat>
            <c:strRef>
              <c:f>'Data Analysis'!$A$30:$A$53</c:f>
              <c:strCache>
                <c:ptCount val="23"/>
                <c:pt idx="0">
                  <c:v>0</c:v>
                </c:pt>
                <c:pt idx="1">
                  <c:v>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strCache>
            </c:strRef>
          </c:cat>
          <c:val>
            <c:numRef>
              <c:f>'Data Analysis'!$B$30:$B$53</c:f>
              <c:numCache>
                <c:formatCode>General</c:formatCode>
                <c:ptCount val="23"/>
                <c:pt idx="0">
                  <c:v>1</c:v>
                </c:pt>
                <c:pt idx="1">
                  <c:v>1</c:v>
                </c:pt>
                <c:pt idx="2">
                  <c:v>1</c:v>
                </c:pt>
                <c:pt idx="3">
                  <c:v>1</c:v>
                </c:pt>
                <c:pt idx="4">
                  <c:v>7</c:v>
                </c:pt>
                <c:pt idx="5">
                  <c:v>5</c:v>
                </c:pt>
                <c:pt idx="6">
                  <c:v>8</c:v>
                </c:pt>
                <c:pt idx="7">
                  <c:v>3</c:v>
                </c:pt>
                <c:pt idx="8">
                  <c:v>2</c:v>
                </c:pt>
                <c:pt idx="9">
                  <c:v>3</c:v>
                </c:pt>
                <c:pt idx="10">
                  <c:v>5</c:v>
                </c:pt>
                <c:pt idx="11">
                  <c:v>4</c:v>
                </c:pt>
                <c:pt idx="12">
                  <c:v>2</c:v>
                </c:pt>
                <c:pt idx="13">
                  <c:v>3</c:v>
                </c:pt>
                <c:pt idx="14">
                  <c:v>4</c:v>
                </c:pt>
                <c:pt idx="15">
                  <c:v>4</c:v>
                </c:pt>
                <c:pt idx="16">
                  <c:v>4</c:v>
                </c:pt>
                <c:pt idx="17">
                  <c:v>8</c:v>
                </c:pt>
                <c:pt idx="18">
                  <c:v>4</c:v>
                </c:pt>
                <c:pt idx="19">
                  <c:v>5</c:v>
                </c:pt>
                <c:pt idx="20">
                  <c:v>4</c:v>
                </c:pt>
                <c:pt idx="21">
                  <c:v>1</c:v>
                </c:pt>
                <c:pt idx="22">
                  <c:v>3</c:v>
                </c:pt>
              </c:numCache>
            </c:numRef>
          </c:val>
        </c:ser>
        <c:dLbls>
          <c:showLegendKey val="0"/>
          <c:showVal val="0"/>
          <c:showCatName val="0"/>
          <c:showSerName val="0"/>
          <c:showPercent val="0"/>
          <c:showBubbleSize val="0"/>
        </c:dLbls>
        <c:gapWidth val="150"/>
        <c:overlap val="100"/>
        <c:axId val="80354304"/>
        <c:axId val="80360192"/>
      </c:barChart>
      <c:catAx>
        <c:axId val="80354304"/>
        <c:scaling>
          <c:orientation val="minMax"/>
        </c:scaling>
        <c:delete val="0"/>
        <c:axPos val="b"/>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80360192"/>
        <c:crosses val="autoZero"/>
        <c:auto val="0"/>
        <c:lblAlgn val="ctr"/>
        <c:lblOffset val="100"/>
        <c:tickLblSkip val="1"/>
        <c:tickMarkSkip val="1"/>
        <c:noMultiLvlLbl val="0"/>
      </c:catAx>
      <c:valAx>
        <c:axId val="80360192"/>
        <c:scaling>
          <c:orientation val="minMax"/>
        </c:scaling>
        <c:delete val="0"/>
        <c:axPos val="l"/>
        <c:majorGridlines/>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80354304"/>
        <c:crosses val="autoZero"/>
        <c:crossBetween val="between"/>
      </c:valAx>
      <c:spPr>
        <a:noFill/>
        <a:ln>
          <a:solidFill>
            <a:sysClr val="window" lastClr="FFFFFF">
              <a:lumMod val="50000"/>
            </a:sysClr>
          </a:solidFill>
        </a:ln>
      </c:spPr>
    </c:plotArea>
    <c:plotVisOnly val="1"/>
    <c:dispBlanksAs val="gap"/>
    <c:showDLblsOverMax val="0"/>
  </c:chart>
  <c:spPr>
    <a:solidFill>
      <a:sysClr val="window" lastClr="FFFFFF"/>
    </a:solidFill>
  </c:spPr>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pivotSource>
    <c:name>[SHE-CR-25A_CAM_Tool_File.xls]Histograms!Logpoint_Severity</c:name>
    <c:fmtId val="4"/>
  </c:pivotSource>
  <c:chart>
    <c:title>
      <c:tx>
        <c:rich>
          <a:bodyPr/>
          <a:lstStyle/>
          <a:p>
            <a:pPr>
              <a:defRPr sz="1440" b="1" i="0" u="none" strike="noStrike" baseline="0">
                <a:solidFill>
                  <a:srgbClr val="000000"/>
                </a:solidFill>
                <a:latin typeface="Calibri"/>
                <a:ea typeface="Calibri"/>
                <a:cs typeface="Calibri"/>
              </a:defRPr>
            </a:pPr>
            <a:r>
              <a:rPr lang="en-US"/>
              <a:t>Location Frequency Chart by Severity</a:t>
            </a: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stacked"/>
        <c:varyColors val="0"/>
        <c:ser>
          <c:idx val="0"/>
          <c:order val="0"/>
          <c:tx>
            <c:strRef>
              <c:f>Histograms!$AK$2:$AK$3</c:f>
              <c:strCache>
                <c:ptCount val="1"/>
                <c:pt idx="0">
                  <c:v>Property Damage Crash</c:v>
                </c:pt>
              </c:strCache>
            </c:strRef>
          </c:tx>
          <c:invertIfNegative val="0"/>
          <c:cat>
            <c:strRef>
              <c:f>Histograms!$AJ$4:$AJ$28</c:f>
              <c:strCache>
                <c:ptCount val="24"/>
                <c:pt idx="0">
                  <c:v>9.18-9.28</c:v>
                </c:pt>
                <c:pt idx="1">
                  <c:v>9.28-9.38</c:v>
                </c:pt>
                <c:pt idx="2">
                  <c:v>9.38-9.48</c:v>
                </c:pt>
                <c:pt idx="3">
                  <c:v>9.48-9.58</c:v>
                </c:pt>
                <c:pt idx="4">
                  <c:v>9.58-9.68</c:v>
                </c:pt>
                <c:pt idx="5">
                  <c:v>9.68-9.78</c:v>
                </c:pt>
                <c:pt idx="6">
                  <c:v>9.78-9.88</c:v>
                </c:pt>
                <c:pt idx="7">
                  <c:v>9.88-9.98</c:v>
                </c:pt>
                <c:pt idx="8">
                  <c:v>9.98-10.08</c:v>
                </c:pt>
                <c:pt idx="9">
                  <c:v>10.08-10.18</c:v>
                </c:pt>
                <c:pt idx="10">
                  <c:v>10.18-10.28</c:v>
                </c:pt>
                <c:pt idx="11">
                  <c:v>10.28-10.38</c:v>
                </c:pt>
                <c:pt idx="12">
                  <c:v>10.38-10.48</c:v>
                </c:pt>
                <c:pt idx="13">
                  <c:v>10.48-10.58</c:v>
                </c:pt>
                <c:pt idx="14">
                  <c:v>10.58-10.68</c:v>
                </c:pt>
                <c:pt idx="15">
                  <c:v>10.78-10.88</c:v>
                </c:pt>
                <c:pt idx="16">
                  <c:v>11.18-11.28</c:v>
                </c:pt>
                <c:pt idx="17">
                  <c:v>11.58-11.68</c:v>
                </c:pt>
                <c:pt idx="18">
                  <c:v>11.68-11.78</c:v>
                </c:pt>
                <c:pt idx="19">
                  <c:v>11.78-11.88</c:v>
                </c:pt>
                <c:pt idx="20">
                  <c:v>11.98-12.08</c:v>
                </c:pt>
                <c:pt idx="21">
                  <c:v>12.08-12.18</c:v>
                </c:pt>
                <c:pt idx="22">
                  <c:v>12.18-12.28</c:v>
                </c:pt>
                <c:pt idx="23">
                  <c:v>12.28-12.38</c:v>
                </c:pt>
              </c:strCache>
            </c:strRef>
          </c:cat>
          <c:val>
            <c:numRef>
              <c:f>Histograms!$AK$4:$AK$28</c:f>
              <c:numCache>
                <c:formatCode>General</c:formatCode>
                <c:ptCount val="24"/>
                <c:pt idx="0">
                  <c:v>4</c:v>
                </c:pt>
                <c:pt idx="1">
                  <c:v>9</c:v>
                </c:pt>
                <c:pt idx="2">
                  <c:v>5</c:v>
                </c:pt>
                <c:pt idx="3">
                  <c:v>3</c:v>
                </c:pt>
                <c:pt idx="4">
                  <c:v>9</c:v>
                </c:pt>
                <c:pt idx="5">
                  <c:v>4</c:v>
                </c:pt>
                <c:pt idx="6">
                  <c:v>3</c:v>
                </c:pt>
                <c:pt idx="7">
                  <c:v>3</c:v>
                </c:pt>
                <c:pt idx="8">
                  <c:v>2</c:v>
                </c:pt>
                <c:pt idx="9">
                  <c:v>1</c:v>
                </c:pt>
                <c:pt idx="10">
                  <c:v>1</c:v>
                </c:pt>
                <c:pt idx="13">
                  <c:v>1</c:v>
                </c:pt>
                <c:pt idx="14">
                  <c:v>2</c:v>
                </c:pt>
                <c:pt idx="15">
                  <c:v>4</c:v>
                </c:pt>
                <c:pt idx="17">
                  <c:v>5</c:v>
                </c:pt>
                <c:pt idx="18">
                  <c:v>1</c:v>
                </c:pt>
                <c:pt idx="19">
                  <c:v>1</c:v>
                </c:pt>
                <c:pt idx="20">
                  <c:v>4</c:v>
                </c:pt>
                <c:pt idx="21">
                  <c:v>1</c:v>
                </c:pt>
                <c:pt idx="22">
                  <c:v>1</c:v>
                </c:pt>
                <c:pt idx="23">
                  <c:v>1</c:v>
                </c:pt>
              </c:numCache>
            </c:numRef>
          </c:val>
        </c:ser>
        <c:ser>
          <c:idx val="1"/>
          <c:order val="1"/>
          <c:tx>
            <c:strRef>
              <c:f>Histograms!$AL$2:$AL$3</c:f>
              <c:strCache>
                <c:ptCount val="1"/>
                <c:pt idx="0">
                  <c:v>Injury Crash</c:v>
                </c:pt>
              </c:strCache>
            </c:strRef>
          </c:tx>
          <c:invertIfNegative val="0"/>
          <c:cat>
            <c:strRef>
              <c:f>Histograms!$AJ$4:$AJ$28</c:f>
              <c:strCache>
                <c:ptCount val="24"/>
                <c:pt idx="0">
                  <c:v>9.18-9.28</c:v>
                </c:pt>
                <c:pt idx="1">
                  <c:v>9.28-9.38</c:v>
                </c:pt>
                <c:pt idx="2">
                  <c:v>9.38-9.48</c:v>
                </c:pt>
                <c:pt idx="3">
                  <c:v>9.48-9.58</c:v>
                </c:pt>
                <c:pt idx="4">
                  <c:v>9.58-9.68</c:v>
                </c:pt>
                <c:pt idx="5">
                  <c:v>9.68-9.78</c:v>
                </c:pt>
                <c:pt idx="6">
                  <c:v>9.78-9.88</c:v>
                </c:pt>
                <c:pt idx="7">
                  <c:v>9.88-9.98</c:v>
                </c:pt>
                <c:pt idx="8">
                  <c:v>9.98-10.08</c:v>
                </c:pt>
                <c:pt idx="9">
                  <c:v>10.08-10.18</c:v>
                </c:pt>
                <c:pt idx="10">
                  <c:v>10.18-10.28</c:v>
                </c:pt>
                <c:pt idx="11">
                  <c:v>10.28-10.38</c:v>
                </c:pt>
                <c:pt idx="12">
                  <c:v>10.38-10.48</c:v>
                </c:pt>
                <c:pt idx="13">
                  <c:v>10.48-10.58</c:v>
                </c:pt>
                <c:pt idx="14">
                  <c:v>10.58-10.68</c:v>
                </c:pt>
                <c:pt idx="15">
                  <c:v>10.78-10.88</c:v>
                </c:pt>
                <c:pt idx="16">
                  <c:v>11.18-11.28</c:v>
                </c:pt>
                <c:pt idx="17">
                  <c:v>11.58-11.68</c:v>
                </c:pt>
                <c:pt idx="18">
                  <c:v>11.68-11.78</c:v>
                </c:pt>
                <c:pt idx="19">
                  <c:v>11.78-11.88</c:v>
                </c:pt>
                <c:pt idx="20">
                  <c:v>11.98-12.08</c:v>
                </c:pt>
                <c:pt idx="21">
                  <c:v>12.08-12.18</c:v>
                </c:pt>
                <c:pt idx="22">
                  <c:v>12.18-12.28</c:v>
                </c:pt>
                <c:pt idx="23">
                  <c:v>12.28-12.38</c:v>
                </c:pt>
              </c:strCache>
            </c:strRef>
          </c:cat>
          <c:val>
            <c:numRef>
              <c:f>Histograms!$AL$4:$AL$28</c:f>
              <c:numCache>
                <c:formatCode>General</c:formatCode>
                <c:ptCount val="24"/>
                <c:pt idx="0">
                  <c:v>4</c:v>
                </c:pt>
                <c:pt idx="4">
                  <c:v>1</c:v>
                </c:pt>
                <c:pt idx="5">
                  <c:v>5</c:v>
                </c:pt>
                <c:pt idx="11">
                  <c:v>3</c:v>
                </c:pt>
                <c:pt idx="12">
                  <c:v>1</c:v>
                </c:pt>
                <c:pt idx="15">
                  <c:v>2</c:v>
                </c:pt>
                <c:pt idx="19">
                  <c:v>1</c:v>
                </c:pt>
              </c:numCache>
            </c:numRef>
          </c:val>
        </c:ser>
        <c:ser>
          <c:idx val="2"/>
          <c:order val="2"/>
          <c:tx>
            <c:strRef>
              <c:f>Histograms!$AM$2:$AM$3</c:f>
              <c:strCache>
                <c:ptCount val="1"/>
                <c:pt idx="0">
                  <c:v>Fatal Crash</c:v>
                </c:pt>
              </c:strCache>
            </c:strRef>
          </c:tx>
          <c:invertIfNegative val="0"/>
          <c:cat>
            <c:strRef>
              <c:f>Histograms!$AJ$4:$AJ$28</c:f>
              <c:strCache>
                <c:ptCount val="24"/>
                <c:pt idx="0">
                  <c:v>9.18-9.28</c:v>
                </c:pt>
                <c:pt idx="1">
                  <c:v>9.28-9.38</c:v>
                </c:pt>
                <c:pt idx="2">
                  <c:v>9.38-9.48</c:v>
                </c:pt>
                <c:pt idx="3">
                  <c:v>9.48-9.58</c:v>
                </c:pt>
                <c:pt idx="4">
                  <c:v>9.58-9.68</c:v>
                </c:pt>
                <c:pt idx="5">
                  <c:v>9.68-9.78</c:v>
                </c:pt>
                <c:pt idx="6">
                  <c:v>9.78-9.88</c:v>
                </c:pt>
                <c:pt idx="7">
                  <c:v>9.88-9.98</c:v>
                </c:pt>
                <c:pt idx="8">
                  <c:v>9.98-10.08</c:v>
                </c:pt>
                <c:pt idx="9">
                  <c:v>10.08-10.18</c:v>
                </c:pt>
                <c:pt idx="10">
                  <c:v>10.18-10.28</c:v>
                </c:pt>
                <c:pt idx="11">
                  <c:v>10.28-10.38</c:v>
                </c:pt>
                <c:pt idx="12">
                  <c:v>10.38-10.48</c:v>
                </c:pt>
                <c:pt idx="13">
                  <c:v>10.48-10.58</c:v>
                </c:pt>
                <c:pt idx="14">
                  <c:v>10.58-10.68</c:v>
                </c:pt>
                <c:pt idx="15">
                  <c:v>10.78-10.88</c:v>
                </c:pt>
                <c:pt idx="16">
                  <c:v>11.18-11.28</c:v>
                </c:pt>
                <c:pt idx="17">
                  <c:v>11.58-11.68</c:v>
                </c:pt>
                <c:pt idx="18">
                  <c:v>11.68-11.78</c:v>
                </c:pt>
                <c:pt idx="19">
                  <c:v>11.78-11.88</c:v>
                </c:pt>
                <c:pt idx="20">
                  <c:v>11.98-12.08</c:v>
                </c:pt>
                <c:pt idx="21">
                  <c:v>12.08-12.18</c:v>
                </c:pt>
                <c:pt idx="22">
                  <c:v>12.18-12.28</c:v>
                </c:pt>
                <c:pt idx="23">
                  <c:v>12.28-12.38</c:v>
                </c:pt>
              </c:strCache>
            </c:strRef>
          </c:cat>
          <c:val>
            <c:numRef>
              <c:f>Histograms!$AM$4:$AM$28</c:f>
              <c:numCache>
                <c:formatCode>General</c:formatCode>
                <c:ptCount val="24"/>
                <c:pt idx="16">
                  <c:v>1</c:v>
                </c:pt>
              </c:numCache>
            </c:numRef>
          </c:val>
        </c:ser>
        <c:dLbls>
          <c:showLegendKey val="0"/>
          <c:showVal val="0"/>
          <c:showCatName val="0"/>
          <c:showSerName val="0"/>
          <c:showPercent val="0"/>
          <c:showBubbleSize val="0"/>
        </c:dLbls>
        <c:gapWidth val="150"/>
        <c:overlap val="100"/>
        <c:axId val="80390784"/>
        <c:axId val="80401152"/>
      </c:barChart>
      <c:catAx>
        <c:axId val="80390784"/>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en-US"/>
                  <a:t>Logpoint</a:t>
                </a:r>
              </a:p>
            </c:rich>
          </c:tx>
          <c:layout/>
          <c:overlay val="0"/>
        </c:title>
        <c:numFmt formatCode="General" sourceLinked="1"/>
        <c:majorTickMark val="out"/>
        <c:minorTickMark val="none"/>
        <c:tickLblPos val="nextTo"/>
        <c:txPr>
          <a:bodyPr rot="-5400000" vert="horz"/>
          <a:lstStyle/>
          <a:p>
            <a:pPr>
              <a:defRPr sz="1200" b="1" i="0" u="none" strike="noStrike" baseline="0">
                <a:solidFill>
                  <a:srgbClr val="000000"/>
                </a:solidFill>
                <a:latin typeface="Calibri"/>
                <a:ea typeface="Calibri"/>
                <a:cs typeface="Calibri"/>
              </a:defRPr>
            </a:pPr>
            <a:endParaRPr lang="en-US"/>
          </a:p>
        </c:txPr>
        <c:crossAx val="80401152"/>
        <c:crosses val="autoZero"/>
        <c:auto val="0"/>
        <c:lblAlgn val="ctr"/>
        <c:lblOffset val="100"/>
        <c:tickLblSkip val="1"/>
        <c:tickMarkSkip val="1"/>
        <c:noMultiLvlLbl val="0"/>
      </c:catAx>
      <c:valAx>
        <c:axId val="80401152"/>
        <c:scaling>
          <c:orientation val="minMax"/>
        </c:scaling>
        <c:delete val="0"/>
        <c:axPos val="l"/>
        <c:majorGridlines/>
        <c:title>
          <c:tx>
            <c:rich>
              <a:bodyPr/>
              <a:lstStyle/>
              <a:p>
                <a:pPr>
                  <a:defRPr sz="1200" b="1" i="0" u="none" strike="noStrike" baseline="0">
                    <a:solidFill>
                      <a:srgbClr val="000000"/>
                    </a:solidFill>
                    <a:latin typeface="Calibri"/>
                    <a:ea typeface="Calibri"/>
                    <a:cs typeface="Calibri"/>
                  </a:defRPr>
                </a:pPr>
                <a:r>
                  <a:rPr lang="en-US"/>
                  <a:t>Number of Crashes</a:t>
                </a:r>
              </a:p>
            </c:rich>
          </c:tx>
          <c:layout/>
          <c:overlay val="0"/>
        </c:title>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80390784"/>
        <c:crosses val="autoZero"/>
        <c:crossBetween val="between"/>
      </c:valAx>
    </c:plotArea>
    <c:legend>
      <c:legendPos val="b"/>
      <c:layout/>
      <c:overlay val="0"/>
      <c:txPr>
        <a:bodyPr/>
        <a:lstStyle/>
        <a:p>
          <a:pPr>
            <a:defRPr sz="85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pivotSource>
    <c:name>[SHE-CR-25A_CAM_Tool_File.xls]Histograms!Crash_Type</c:name>
    <c:fmtId val="4"/>
  </c:pivotSource>
  <c:chart>
    <c:title>
      <c:tx>
        <c:rich>
          <a:bodyPr/>
          <a:lstStyle/>
          <a:p>
            <a:pPr>
              <a:defRPr sz="1440" b="1" i="0" u="none" strike="noStrike" baseline="0">
                <a:solidFill>
                  <a:srgbClr val="000000"/>
                </a:solidFill>
                <a:latin typeface="Calibri"/>
                <a:ea typeface="Calibri"/>
                <a:cs typeface="Calibri"/>
              </a:defRPr>
            </a:pPr>
            <a:r>
              <a:rPr lang="en-US"/>
              <a:t>Location Frequency Chart by Type of Crash</a:t>
            </a: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s>
    <c:plotArea>
      <c:layout/>
      <c:barChart>
        <c:barDir val="col"/>
        <c:grouping val="stacked"/>
        <c:varyColors val="0"/>
        <c:ser>
          <c:idx val="0"/>
          <c:order val="0"/>
          <c:tx>
            <c:strRef>
              <c:f>Histograms!$AP$2:$AP$3</c:f>
              <c:strCache>
                <c:ptCount val="1"/>
                <c:pt idx="0">
                  <c:v>Animal</c:v>
                </c:pt>
              </c:strCache>
            </c:strRef>
          </c:tx>
          <c:invertIfNegative val="0"/>
          <c:cat>
            <c:strRef>
              <c:f>Histograms!$AO$4:$AO$28</c:f>
              <c:strCache>
                <c:ptCount val="24"/>
                <c:pt idx="0">
                  <c:v>9.18-9.28</c:v>
                </c:pt>
                <c:pt idx="1">
                  <c:v>9.28-9.38</c:v>
                </c:pt>
                <c:pt idx="2">
                  <c:v>9.38-9.48</c:v>
                </c:pt>
                <c:pt idx="3">
                  <c:v>9.48-9.58</c:v>
                </c:pt>
                <c:pt idx="4">
                  <c:v>9.58-9.68</c:v>
                </c:pt>
                <c:pt idx="5">
                  <c:v>9.68-9.78</c:v>
                </c:pt>
                <c:pt idx="6">
                  <c:v>9.78-9.88</c:v>
                </c:pt>
                <c:pt idx="7">
                  <c:v>9.88-9.98</c:v>
                </c:pt>
                <c:pt idx="8">
                  <c:v>9.98-10.08</c:v>
                </c:pt>
                <c:pt idx="9">
                  <c:v>10.08-10.18</c:v>
                </c:pt>
                <c:pt idx="10">
                  <c:v>10.18-10.28</c:v>
                </c:pt>
                <c:pt idx="11">
                  <c:v>10.28-10.38</c:v>
                </c:pt>
                <c:pt idx="12">
                  <c:v>10.38-10.48</c:v>
                </c:pt>
                <c:pt idx="13">
                  <c:v>10.48-10.58</c:v>
                </c:pt>
                <c:pt idx="14">
                  <c:v>10.58-10.68</c:v>
                </c:pt>
                <c:pt idx="15">
                  <c:v>10.78-10.88</c:v>
                </c:pt>
                <c:pt idx="16">
                  <c:v>11.18-11.28</c:v>
                </c:pt>
                <c:pt idx="17">
                  <c:v>11.58-11.68</c:v>
                </c:pt>
                <c:pt idx="18">
                  <c:v>11.68-11.78</c:v>
                </c:pt>
                <c:pt idx="19">
                  <c:v>11.78-11.88</c:v>
                </c:pt>
                <c:pt idx="20">
                  <c:v>11.98-12.08</c:v>
                </c:pt>
                <c:pt idx="21">
                  <c:v>12.08-12.18</c:v>
                </c:pt>
                <c:pt idx="22">
                  <c:v>12.18-12.28</c:v>
                </c:pt>
                <c:pt idx="23">
                  <c:v>12.28-12.38</c:v>
                </c:pt>
              </c:strCache>
            </c:strRef>
          </c:cat>
          <c:val>
            <c:numRef>
              <c:f>Histograms!$AP$4:$AP$28</c:f>
              <c:numCache>
                <c:formatCode>General</c:formatCode>
                <c:ptCount val="24"/>
                <c:pt idx="0">
                  <c:v>2</c:v>
                </c:pt>
                <c:pt idx="1">
                  <c:v>5</c:v>
                </c:pt>
                <c:pt idx="2">
                  <c:v>4</c:v>
                </c:pt>
                <c:pt idx="3">
                  <c:v>3</c:v>
                </c:pt>
                <c:pt idx="4">
                  <c:v>8</c:v>
                </c:pt>
                <c:pt idx="5">
                  <c:v>3</c:v>
                </c:pt>
                <c:pt idx="7">
                  <c:v>2</c:v>
                </c:pt>
                <c:pt idx="8">
                  <c:v>2</c:v>
                </c:pt>
                <c:pt idx="13">
                  <c:v>1</c:v>
                </c:pt>
                <c:pt idx="14">
                  <c:v>2</c:v>
                </c:pt>
                <c:pt idx="17">
                  <c:v>5</c:v>
                </c:pt>
                <c:pt idx="18">
                  <c:v>1</c:v>
                </c:pt>
                <c:pt idx="20">
                  <c:v>1</c:v>
                </c:pt>
                <c:pt idx="22">
                  <c:v>1</c:v>
                </c:pt>
                <c:pt idx="23">
                  <c:v>1</c:v>
                </c:pt>
              </c:numCache>
            </c:numRef>
          </c:val>
        </c:ser>
        <c:ser>
          <c:idx val="1"/>
          <c:order val="1"/>
          <c:tx>
            <c:strRef>
              <c:f>Histograms!$AQ$2:$AQ$3</c:f>
              <c:strCache>
                <c:ptCount val="1"/>
                <c:pt idx="0">
                  <c:v>Fixed Object</c:v>
                </c:pt>
              </c:strCache>
            </c:strRef>
          </c:tx>
          <c:invertIfNegative val="0"/>
          <c:cat>
            <c:strRef>
              <c:f>Histograms!$AO$4:$AO$28</c:f>
              <c:strCache>
                <c:ptCount val="24"/>
                <c:pt idx="0">
                  <c:v>9.18-9.28</c:v>
                </c:pt>
                <c:pt idx="1">
                  <c:v>9.28-9.38</c:v>
                </c:pt>
                <c:pt idx="2">
                  <c:v>9.38-9.48</c:v>
                </c:pt>
                <c:pt idx="3">
                  <c:v>9.48-9.58</c:v>
                </c:pt>
                <c:pt idx="4">
                  <c:v>9.58-9.68</c:v>
                </c:pt>
                <c:pt idx="5">
                  <c:v>9.68-9.78</c:v>
                </c:pt>
                <c:pt idx="6">
                  <c:v>9.78-9.88</c:v>
                </c:pt>
                <c:pt idx="7">
                  <c:v>9.88-9.98</c:v>
                </c:pt>
                <c:pt idx="8">
                  <c:v>9.98-10.08</c:v>
                </c:pt>
                <c:pt idx="9">
                  <c:v>10.08-10.18</c:v>
                </c:pt>
                <c:pt idx="10">
                  <c:v>10.18-10.28</c:v>
                </c:pt>
                <c:pt idx="11">
                  <c:v>10.28-10.38</c:v>
                </c:pt>
                <c:pt idx="12">
                  <c:v>10.38-10.48</c:v>
                </c:pt>
                <c:pt idx="13">
                  <c:v>10.48-10.58</c:v>
                </c:pt>
                <c:pt idx="14">
                  <c:v>10.58-10.68</c:v>
                </c:pt>
                <c:pt idx="15">
                  <c:v>10.78-10.88</c:v>
                </c:pt>
                <c:pt idx="16">
                  <c:v>11.18-11.28</c:v>
                </c:pt>
                <c:pt idx="17">
                  <c:v>11.58-11.68</c:v>
                </c:pt>
                <c:pt idx="18">
                  <c:v>11.68-11.78</c:v>
                </c:pt>
                <c:pt idx="19">
                  <c:v>11.78-11.88</c:v>
                </c:pt>
                <c:pt idx="20">
                  <c:v>11.98-12.08</c:v>
                </c:pt>
                <c:pt idx="21">
                  <c:v>12.08-12.18</c:v>
                </c:pt>
                <c:pt idx="22">
                  <c:v>12.18-12.28</c:v>
                </c:pt>
                <c:pt idx="23">
                  <c:v>12.28-12.38</c:v>
                </c:pt>
              </c:strCache>
            </c:strRef>
          </c:cat>
          <c:val>
            <c:numRef>
              <c:f>Histograms!$AQ$4:$AQ$28</c:f>
              <c:numCache>
                <c:formatCode>General</c:formatCode>
                <c:ptCount val="24"/>
                <c:pt idx="0">
                  <c:v>2</c:v>
                </c:pt>
                <c:pt idx="1">
                  <c:v>3</c:v>
                </c:pt>
                <c:pt idx="2">
                  <c:v>1</c:v>
                </c:pt>
                <c:pt idx="4">
                  <c:v>2</c:v>
                </c:pt>
                <c:pt idx="6">
                  <c:v>1</c:v>
                </c:pt>
                <c:pt idx="9">
                  <c:v>1</c:v>
                </c:pt>
                <c:pt idx="10">
                  <c:v>1</c:v>
                </c:pt>
                <c:pt idx="11">
                  <c:v>2</c:v>
                </c:pt>
                <c:pt idx="15">
                  <c:v>1</c:v>
                </c:pt>
                <c:pt idx="19">
                  <c:v>1</c:v>
                </c:pt>
                <c:pt idx="20">
                  <c:v>3</c:v>
                </c:pt>
                <c:pt idx="21">
                  <c:v>1</c:v>
                </c:pt>
              </c:numCache>
            </c:numRef>
          </c:val>
        </c:ser>
        <c:ser>
          <c:idx val="2"/>
          <c:order val="2"/>
          <c:tx>
            <c:strRef>
              <c:f>Histograms!$AR$2:$AR$3</c:f>
              <c:strCache>
                <c:ptCount val="1"/>
                <c:pt idx="0">
                  <c:v>Angle</c:v>
                </c:pt>
              </c:strCache>
            </c:strRef>
          </c:tx>
          <c:invertIfNegative val="0"/>
          <c:cat>
            <c:strRef>
              <c:f>Histograms!$AO$4:$AO$28</c:f>
              <c:strCache>
                <c:ptCount val="24"/>
                <c:pt idx="0">
                  <c:v>9.18-9.28</c:v>
                </c:pt>
                <c:pt idx="1">
                  <c:v>9.28-9.38</c:v>
                </c:pt>
                <c:pt idx="2">
                  <c:v>9.38-9.48</c:v>
                </c:pt>
                <c:pt idx="3">
                  <c:v>9.48-9.58</c:v>
                </c:pt>
                <c:pt idx="4">
                  <c:v>9.58-9.68</c:v>
                </c:pt>
                <c:pt idx="5">
                  <c:v>9.68-9.78</c:v>
                </c:pt>
                <c:pt idx="6">
                  <c:v>9.78-9.88</c:v>
                </c:pt>
                <c:pt idx="7">
                  <c:v>9.88-9.98</c:v>
                </c:pt>
                <c:pt idx="8">
                  <c:v>9.98-10.08</c:v>
                </c:pt>
                <c:pt idx="9">
                  <c:v>10.08-10.18</c:v>
                </c:pt>
                <c:pt idx="10">
                  <c:v>10.18-10.28</c:v>
                </c:pt>
                <c:pt idx="11">
                  <c:v>10.28-10.38</c:v>
                </c:pt>
                <c:pt idx="12">
                  <c:v>10.38-10.48</c:v>
                </c:pt>
                <c:pt idx="13">
                  <c:v>10.48-10.58</c:v>
                </c:pt>
                <c:pt idx="14">
                  <c:v>10.58-10.68</c:v>
                </c:pt>
                <c:pt idx="15">
                  <c:v>10.78-10.88</c:v>
                </c:pt>
                <c:pt idx="16">
                  <c:v>11.18-11.28</c:v>
                </c:pt>
                <c:pt idx="17">
                  <c:v>11.58-11.68</c:v>
                </c:pt>
                <c:pt idx="18">
                  <c:v>11.68-11.78</c:v>
                </c:pt>
                <c:pt idx="19">
                  <c:v>11.78-11.88</c:v>
                </c:pt>
                <c:pt idx="20">
                  <c:v>11.98-12.08</c:v>
                </c:pt>
                <c:pt idx="21">
                  <c:v>12.08-12.18</c:v>
                </c:pt>
                <c:pt idx="22">
                  <c:v>12.18-12.28</c:v>
                </c:pt>
                <c:pt idx="23">
                  <c:v>12.28-12.38</c:v>
                </c:pt>
              </c:strCache>
            </c:strRef>
          </c:cat>
          <c:val>
            <c:numRef>
              <c:f>Histograms!$AR$4:$AR$28</c:f>
              <c:numCache>
                <c:formatCode>General</c:formatCode>
                <c:ptCount val="24"/>
                <c:pt idx="5">
                  <c:v>5</c:v>
                </c:pt>
                <c:pt idx="15">
                  <c:v>2</c:v>
                </c:pt>
                <c:pt idx="19">
                  <c:v>1</c:v>
                </c:pt>
              </c:numCache>
            </c:numRef>
          </c:val>
        </c:ser>
        <c:ser>
          <c:idx val="3"/>
          <c:order val="3"/>
          <c:tx>
            <c:strRef>
              <c:f>Histograms!$AS$2:$AS$3</c:f>
              <c:strCache>
                <c:ptCount val="1"/>
                <c:pt idx="0">
                  <c:v>Rear End</c:v>
                </c:pt>
              </c:strCache>
            </c:strRef>
          </c:tx>
          <c:invertIfNegative val="0"/>
          <c:cat>
            <c:strRef>
              <c:f>Histograms!$AO$4:$AO$28</c:f>
              <c:strCache>
                <c:ptCount val="24"/>
                <c:pt idx="0">
                  <c:v>9.18-9.28</c:v>
                </c:pt>
                <c:pt idx="1">
                  <c:v>9.28-9.38</c:v>
                </c:pt>
                <c:pt idx="2">
                  <c:v>9.38-9.48</c:v>
                </c:pt>
                <c:pt idx="3">
                  <c:v>9.48-9.58</c:v>
                </c:pt>
                <c:pt idx="4">
                  <c:v>9.58-9.68</c:v>
                </c:pt>
                <c:pt idx="5">
                  <c:v>9.68-9.78</c:v>
                </c:pt>
                <c:pt idx="6">
                  <c:v>9.78-9.88</c:v>
                </c:pt>
                <c:pt idx="7">
                  <c:v>9.88-9.98</c:v>
                </c:pt>
                <c:pt idx="8">
                  <c:v>9.98-10.08</c:v>
                </c:pt>
                <c:pt idx="9">
                  <c:v>10.08-10.18</c:v>
                </c:pt>
                <c:pt idx="10">
                  <c:v>10.18-10.28</c:v>
                </c:pt>
                <c:pt idx="11">
                  <c:v>10.28-10.38</c:v>
                </c:pt>
                <c:pt idx="12">
                  <c:v>10.38-10.48</c:v>
                </c:pt>
                <c:pt idx="13">
                  <c:v>10.48-10.58</c:v>
                </c:pt>
                <c:pt idx="14">
                  <c:v>10.58-10.68</c:v>
                </c:pt>
                <c:pt idx="15">
                  <c:v>10.78-10.88</c:v>
                </c:pt>
                <c:pt idx="16">
                  <c:v>11.18-11.28</c:v>
                </c:pt>
                <c:pt idx="17">
                  <c:v>11.58-11.68</c:v>
                </c:pt>
                <c:pt idx="18">
                  <c:v>11.68-11.78</c:v>
                </c:pt>
                <c:pt idx="19">
                  <c:v>11.78-11.88</c:v>
                </c:pt>
                <c:pt idx="20">
                  <c:v>11.98-12.08</c:v>
                </c:pt>
                <c:pt idx="21">
                  <c:v>12.08-12.18</c:v>
                </c:pt>
                <c:pt idx="22">
                  <c:v>12.18-12.28</c:v>
                </c:pt>
                <c:pt idx="23">
                  <c:v>12.28-12.38</c:v>
                </c:pt>
              </c:strCache>
            </c:strRef>
          </c:cat>
          <c:val>
            <c:numRef>
              <c:f>Histograms!$AS$4:$AS$28</c:f>
              <c:numCache>
                <c:formatCode>General</c:formatCode>
                <c:ptCount val="24"/>
                <c:pt idx="0">
                  <c:v>3</c:v>
                </c:pt>
                <c:pt idx="5">
                  <c:v>1</c:v>
                </c:pt>
                <c:pt idx="6">
                  <c:v>1</c:v>
                </c:pt>
                <c:pt idx="7">
                  <c:v>1</c:v>
                </c:pt>
                <c:pt idx="12">
                  <c:v>1</c:v>
                </c:pt>
                <c:pt idx="15">
                  <c:v>1</c:v>
                </c:pt>
              </c:numCache>
            </c:numRef>
          </c:val>
        </c:ser>
        <c:ser>
          <c:idx val="4"/>
          <c:order val="4"/>
          <c:tx>
            <c:strRef>
              <c:f>Histograms!$AT$2:$AT$3</c:f>
              <c:strCache>
                <c:ptCount val="1"/>
                <c:pt idx="0">
                  <c:v>Sideswipe - Passing</c:v>
                </c:pt>
              </c:strCache>
            </c:strRef>
          </c:tx>
          <c:invertIfNegative val="0"/>
          <c:cat>
            <c:strRef>
              <c:f>Histograms!$AO$4:$AO$28</c:f>
              <c:strCache>
                <c:ptCount val="24"/>
                <c:pt idx="0">
                  <c:v>9.18-9.28</c:v>
                </c:pt>
                <c:pt idx="1">
                  <c:v>9.28-9.38</c:v>
                </c:pt>
                <c:pt idx="2">
                  <c:v>9.38-9.48</c:v>
                </c:pt>
                <c:pt idx="3">
                  <c:v>9.48-9.58</c:v>
                </c:pt>
                <c:pt idx="4">
                  <c:v>9.58-9.68</c:v>
                </c:pt>
                <c:pt idx="5">
                  <c:v>9.68-9.78</c:v>
                </c:pt>
                <c:pt idx="6">
                  <c:v>9.78-9.88</c:v>
                </c:pt>
                <c:pt idx="7">
                  <c:v>9.88-9.98</c:v>
                </c:pt>
                <c:pt idx="8">
                  <c:v>9.98-10.08</c:v>
                </c:pt>
                <c:pt idx="9">
                  <c:v>10.08-10.18</c:v>
                </c:pt>
                <c:pt idx="10">
                  <c:v>10.18-10.28</c:v>
                </c:pt>
                <c:pt idx="11">
                  <c:v>10.28-10.38</c:v>
                </c:pt>
                <c:pt idx="12">
                  <c:v>10.38-10.48</c:v>
                </c:pt>
                <c:pt idx="13">
                  <c:v>10.48-10.58</c:v>
                </c:pt>
                <c:pt idx="14">
                  <c:v>10.58-10.68</c:v>
                </c:pt>
                <c:pt idx="15">
                  <c:v>10.78-10.88</c:v>
                </c:pt>
                <c:pt idx="16">
                  <c:v>11.18-11.28</c:v>
                </c:pt>
                <c:pt idx="17">
                  <c:v>11.58-11.68</c:v>
                </c:pt>
                <c:pt idx="18">
                  <c:v>11.68-11.78</c:v>
                </c:pt>
                <c:pt idx="19">
                  <c:v>11.78-11.88</c:v>
                </c:pt>
                <c:pt idx="20">
                  <c:v>11.98-12.08</c:v>
                </c:pt>
                <c:pt idx="21">
                  <c:v>12.08-12.18</c:v>
                </c:pt>
                <c:pt idx="22">
                  <c:v>12.18-12.28</c:v>
                </c:pt>
                <c:pt idx="23">
                  <c:v>12.28-12.38</c:v>
                </c:pt>
              </c:strCache>
            </c:strRef>
          </c:cat>
          <c:val>
            <c:numRef>
              <c:f>Histograms!$AT$4:$AT$28</c:f>
              <c:numCache>
                <c:formatCode>General</c:formatCode>
                <c:ptCount val="24"/>
                <c:pt idx="0">
                  <c:v>1</c:v>
                </c:pt>
                <c:pt idx="15">
                  <c:v>2</c:v>
                </c:pt>
              </c:numCache>
            </c:numRef>
          </c:val>
        </c:ser>
        <c:ser>
          <c:idx val="5"/>
          <c:order val="5"/>
          <c:tx>
            <c:strRef>
              <c:f>Histograms!$AU$2:$AU$3</c:f>
              <c:strCache>
                <c:ptCount val="1"/>
                <c:pt idx="0">
                  <c:v>Parked Vehicle</c:v>
                </c:pt>
              </c:strCache>
            </c:strRef>
          </c:tx>
          <c:invertIfNegative val="0"/>
          <c:cat>
            <c:strRef>
              <c:f>Histograms!$AO$4:$AO$28</c:f>
              <c:strCache>
                <c:ptCount val="24"/>
                <c:pt idx="0">
                  <c:v>9.18-9.28</c:v>
                </c:pt>
                <c:pt idx="1">
                  <c:v>9.28-9.38</c:v>
                </c:pt>
                <c:pt idx="2">
                  <c:v>9.38-9.48</c:v>
                </c:pt>
                <c:pt idx="3">
                  <c:v>9.48-9.58</c:v>
                </c:pt>
                <c:pt idx="4">
                  <c:v>9.58-9.68</c:v>
                </c:pt>
                <c:pt idx="5">
                  <c:v>9.68-9.78</c:v>
                </c:pt>
                <c:pt idx="6">
                  <c:v>9.78-9.88</c:v>
                </c:pt>
                <c:pt idx="7">
                  <c:v>9.88-9.98</c:v>
                </c:pt>
                <c:pt idx="8">
                  <c:v>9.98-10.08</c:v>
                </c:pt>
                <c:pt idx="9">
                  <c:v>10.08-10.18</c:v>
                </c:pt>
                <c:pt idx="10">
                  <c:v>10.18-10.28</c:v>
                </c:pt>
                <c:pt idx="11">
                  <c:v>10.28-10.38</c:v>
                </c:pt>
                <c:pt idx="12">
                  <c:v>10.38-10.48</c:v>
                </c:pt>
                <c:pt idx="13">
                  <c:v>10.48-10.58</c:v>
                </c:pt>
                <c:pt idx="14">
                  <c:v>10.58-10.68</c:v>
                </c:pt>
                <c:pt idx="15">
                  <c:v>10.78-10.88</c:v>
                </c:pt>
                <c:pt idx="16">
                  <c:v>11.18-11.28</c:v>
                </c:pt>
                <c:pt idx="17">
                  <c:v>11.58-11.68</c:v>
                </c:pt>
                <c:pt idx="18">
                  <c:v>11.68-11.78</c:v>
                </c:pt>
                <c:pt idx="19">
                  <c:v>11.78-11.88</c:v>
                </c:pt>
                <c:pt idx="20">
                  <c:v>11.98-12.08</c:v>
                </c:pt>
                <c:pt idx="21">
                  <c:v>12.08-12.18</c:v>
                </c:pt>
                <c:pt idx="22">
                  <c:v>12.18-12.28</c:v>
                </c:pt>
                <c:pt idx="23">
                  <c:v>12.28-12.38</c:v>
                </c:pt>
              </c:strCache>
            </c:strRef>
          </c:cat>
          <c:val>
            <c:numRef>
              <c:f>Histograms!$AU$4:$AU$28</c:f>
              <c:numCache>
                <c:formatCode>General</c:formatCode>
                <c:ptCount val="24"/>
                <c:pt idx="1">
                  <c:v>1</c:v>
                </c:pt>
              </c:numCache>
            </c:numRef>
          </c:val>
        </c:ser>
        <c:ser>
          <c:idx val="6"/>
          <c:order val="6"/>
          <c:tx>
            <c:strRef>
              <c:f>Histograms!$AV$2:$AV$3</c:f>
              <c:strCache>
                <c:ptCount val="1"/>
                <c:pt idx="0">
                  <c:v>Head On</c:v>
                </c:pt>
              </c:strCache>
            </c:strRef>
          </c:tx>
          <c:invertIfNegative val="0"/>
          <c:cat>
            <c:strRef>
              <c:f>Histograms!$AO$4:$AO$28</c:f>
              <c:strCache>
                <c:ptCount val="24"/>
                <c:pt idx="0">
                  <c:v>9.18-9.28</c:v>
                </c:pt>
                <c:pt idx="1">
                  <c:v>9.28-9.38</c:v>
                </c:pt>
                <c:pt idx="2">
                  <c:v>9.38-9.48</c:v>
                </c:pt>
                <c:pt idx="3">
                  <c:v>9.48-9.58</c:v>
                </c:pt>
                <c:pt idx="4">
                  <c:v>9.58-9.68</c:v>
                </c:pt>
                <c:pt idx="5">
                  <c:v>9.68-9.78</c:v>
                </c:pt>
                <c:pt idx="6">
                  <c:v>9.78-9.88</c:v>
                </c:pt>
                <c:pt idx="7">
                  <c:v>9.88-9.98</c:v>
                </c:pt>
                <c:pt idx="8">
                  <c:v>9.98-10.08</c:v>
                </c:pt>
                <c:pt idx="9">
                  <c:v>10.08-10.18</c:v>
                </c:pt>
                <c:pt idx="10">
                  <c:v>10.18-10.28</c:v>
                </c:pt>
                <c:pt idx="11">
                  <c:v>10.28-10.38</c:v>
                </c:pt>
                <c:pt idx="12">
                  <c:v>10.38-10.48</c:v>
                </c:pt>
                <c:pt idx="13">
                  <c:v>10.48-10.58</c:v>
                </c:pt>
                <c:pt idx="14">
                  <c:v>10.58-10.68</c:v>
                </c:pt>
                <c:pt idx="15">
                  <c:v>10.78-10.88</c:v>
                </c:pt>
                <c:pt idx="16">
                  <c:v>11.18-11.28</c:v>
                </c:pt>
                <c:pt idx="17">
                  <c:v>11.58-11.68</c:v>
                </c:pt>
                <c:pt idx="18">
                  <c:v>11.68-11.78</c:v>
                </c:pt>
                <c:pt idx="19">
                  <c:v>11.78-11.88</c:v>
                </c:pt>
                <c:pt idx="20">
                  <c:v>11.98-12.08</c:v>
                </c:pt>
                <c:pt idx="21">
                  <c:v>12.08-12.18</c:v>
                </c:pt>
                <c:pt idx="22">
                  <c:v>12.18-12.28</c:v>
                </c:pt>
                <c:pt idx="23">
                  <c:v>12.28-12.38</c:v>
                </c:pt>
              </c:strCache>
            </c:strRef>
          </c:cat>
          <c:val>
            <c:numRef>
              <c:f>Histograms!$AV$4:$AV$28</c:f>
              <c:numCache>
                <c:formatCode>General</c:formatCode>
                <c:ptCount val="24"/>
                <c:pt idx="11">
                  <c:v>1</c:v>
                </c:pt>
              </c:numCache>
            </c:numRef>
          </c:val>
        </c:ser>
        <c:ser>
          <c:idx val="7"/>
          <c:order val="7"/>
          <c:tx>
            <c:strRef>
              <c:f>Histograms!$AW$2:$AW$3</c:f>
              <c:strCache>
                <c:ptCount val="1"/>
                <c:pt idx="0">
                  <c:v>Left Turn</c:v>
                </c:pt>
              </c:strCache>
            </c:strRef>
          </c:tx>
          <c:invertIfNegative val="0"/>
          <c:cat>
            <c:strRef>
              <c:f>Histograms!$AO$4:$AO$28</c:f>
              <c:strCache>
                <c:ptCount val="24"/>
                <c:pt idx="0">
                  <c:v>9.18-9.28</c:v>
                </c:pt>
                <c:pt idx="1">
                  <c:v>9.28-9.38</c:v>
                </c:pt>
                <c:pt idx="2">
                  <c:v>9.38-9.48</c:v>
                </c:pt>
                <c:pt idx="3">
                  <c:v>9.48-9.58</c:v>
                </c:pt>
                <c:pt idx="4">
                  <c:v>9.58-9.68</c:v>
                </c:pt>
                <c:pt idx="5">
                  <c:v>9.68-9.78</c:v>
                </c:pt>
                <c:pt idx="6">
                  <c:v>9.78-9.88</c:v>
                </c:pt>
                <c:pt idx="7">
                  <c:v>9.88-9.98</c:v>
                </c:pt>
                <c:pt idx="8">
                  <c:v>9.98-10.08</c:v>
                </c:pt>
                <c:pt idx="9">
                  <c:v>10.08-10.18</c:v>
                </c:pt>
                <c:pt idx="10">
                  <c:v>10.18-10.28</c:v>
                </c:pt>
                <c:pt idx="11">
                  <c:v>10.28-10.38</c:v>
                </c:pt>
                <c:pt idx="12">
                  <c:v>10.38-10.48</c:v>
                </c:pt>
                <c:pt idx="13">
                  <c:v>10.48-10.58</c:v>
                </c:pt>
                <c:pt idx="14">
                  <c:v>10.58-10.68</c:v>
                </c:pt>
                <c:pt idx="15">
                  <c:v>10.78-10.88</c:v>
                </c:pt>
                <c:pt idx="16">
                  <c:v>11.18-11.28</c:v>
                </c:pt>
                <c:pt idx="17">
                  <c:v>11.58-11.68</c:v>
                </c:pt>
                <c:pt idx="18">
                  <c:v>11.68-11.78</c:v>
                </c:pt>
                <c:pt idx="19">
                  <c:v>11.78-11.88</c:v>
                </c:pt>
                <c:pt idx="20">
                  <c:v>11.98-12.08</c:v>
                </c:pt>
                <c:pt idx="21">
                  <c:v>12.08-12.18</c:v>
                </c:pt>
                <c:pt idx="22">
                  <c:v>12.18-12.28</c:v>
                </c:pt>
                <c:pt idx="23">
                  <c:v>12.28-12.38</c:v>
                </c:pt>
              </c:strCache>
            </c:strRef>
          </c:cat>
          <c:val>
            <c:numRef>
              <c:f>Histograms!$AW$4:$AW$28</c:f>
              <c:numCache>
                <c:formatCode>General</c:formatCode>
                <c:ptCount val="24"/>
                <c:pt idx="6">
                  <c:v>1</c:v>
                </c:pt>
              </c:numCache>
            </c:numRef>
          </c:val>
        </c:ser>
        <c:ser>
          <c:idx val="8"/>
          <c:order val="8"/>
          <c:tx>
            <c:strRef>
              <c:f>Histograms!$AX$2:$AX$3</c:f>
              <c:strCache>
                <c:ptCount val="1"/>
                <c:pt idx="0">
                  <c:v>Sideswipe - Meeting</c:v>
                </c:pt>
              </c:strCache>
            </c:strRef>
          </c:tx>
          <c:invertIfNegative val="0"/>
          <c:cat>
            <c:strRef>
              <c:f>Histograms!$AO$4:$AO$28</c:f>
              <c:strCache>
                <c:ptCount val="24"/>
                <c:pt idx="0">
                  <c:v>9.18-9.28</c:v>
                </c:pt>
                <c:pt idx="1">
                  <c:v>9.28-9.38</c:v>
                </c:pt>
                <c:pt idx="2">
                  <c:v>9.38-9.48</c:v>
                </c:pt>
                <c:pt idx="3">
                  <c:v>9.48-9.58</c:v>
                </c:pt>
                <c:pt idx="4">
                  <c:v>9.58-9.68</c:v>
                </c:pt>
                <c:pt idx="5">
                  <c:v>9.68-9.78</c:v>
                </c:pt>
                <c:pt idx="6">
                  <c:v>9.78-9.88</c:v>
                </c:pt>
                <c:pt idx="7">
                  <c:v>9.88-9.98</c:v>
                </c:pt>
                <c:pt idx="8">
                  <c:v>9.98-10.08</c:v>
                </c:pt>
                <c:pt idx="9">
                  <c:v>10.08-10.18</c:v>
                </c:pt>
                <c:pt idx="10">
                  <c:v>10.18-10.28</c:v>
                </c:pt>
                <c:pt idx="11">
                  <c:v>10.28-10.38</c:v>
                </c:pt>
                <c:pt idx="12">
                  <c:v>10.38-10.48</c:v>
                </c:pt>
                <c:pt idx="13">
                  <c:v>10.48-10.58</c:v>
                </c:pt>
                <c:pt idx="14">
                  <c:v>10.58-10.68</c:v>
                </c:pt>
                <c:pt idx="15">
                  <c:v>10.78-10.88</c:v>
                </c:pt>
                <c:pt idx="16">
                  <c:v>11.18-11.28</c:v>
                </c:pt>
                <c:pt idx="17">
                  <c:v>11.58-11.68</c:v>
                </c:pt>
                <c:pt idx="18">
                  <c:v>11.68-11.78</c:v>
                </c:pt>
                <c:pt idx="19">
                  <c:v>11.78-11.88</c:v>
                </c:pt>
                <c:pt idx="20">
                  <c:v>11.98-12.08</c:v>
                </c:pt>
                <c:pt idx="21">
                  <c:v>12.08-12.18</c:v>
                </c:pt>
                <c:pt idx="22">
                  <c:v>12.18-12.28</c:v>
                </c:pt>
                <c:pt idx="23">
                  <c:v>12.28-12.38</c:v>
                </c:pt>
              </c:strCache>
            </c:strRef>
          </c:cat>
          <c:val>
            <c:numRef>
              <c:f>Histograms!$AX$4:$AX$28</c:f>
              <c:numCache>
                <c:formatCode>General</c:formatCode>
                <c:ptCount val="24"/>
                <c:pt idx="16">
                  <c:v>1</c:v>
                </c:pt>
              </c:numCache>
            </c:numRef>
          </c:val>
        </c:ser>
        <c:dLbls>
          <c:showLegendKey val="0"/>
          <c:showVal val="0"/>
          <c:showCatName val="0"/>
          <c:showSerName val="0"/>
          <c:showPercent val="0"/>
          <c:showBubbleSize val="0"/>
        </c:dLbls>
        <c:gapWidth val="150"/>
        <c:overlap val="100"/>
        <c:axId val="80873344"/>
        <c:axId val="80875520"/>
      </c:barChart>
      <c:catAx>
        <c:axId val="80873344"/>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en-US"/>
                  <a:t>Logpoint</a:t>
                </a:r>
              </a:p>
            </c:rich>
          </c:tx>
          <c:layout/>
          <c:overlay val="0"/>
        </c:title>
        <c:numFmt formatCode="General" sourceLinked="1"/>
        <c:majorTickMark val="out"/>
        <c:minorTickMark val="none"/>
        <c:tickLblPos val="nextTo"/>
        <c:txPr>
          <a:bodyPr rot="-5400000" vert="horz"/>
          <a:lstStyle/>
          <a:p>
            <a:pPr>
              <a:defRPr sz="1200" b="1" i="0" u="none" strike="noStrike" baseline="0">
                <a:solidFill>
                  <a:srgbClr val="000000"/>
                </a:solidFill>
                <a:latin typeface="Calibri"/>
                <a:ea typeface="Calibri"/>
                <a:cs typeface="Calibri"/>
              </a:defRPr>
            </a:pPr>
            <a:endParaRPr lang="en-US"/>
          </a:p>
        </c:txPr>
        <c:crossAx val="80875520"/>
        <c:crosses val="autoZero"/>
        <c:auto val="0"/>
        <c:lblAlgn val="ctr"/>
        <c:lblOffset val="100"/>
        <c:tickLblSkip val="1"/>
        <c:tickMarkSkip val="1"/>
        <c:noMultiLvlLbl val="0"/>
      </c:catAx>
      <c:valAx>
        <c:axId val="80875520"/>
        <c:scaling>
          <c:orientation val="minMax"/>
        </c:scaling>
        <c:delete val="0"/>
        <c:axPos val="l"/>
        <c:majorGridlines/>
        <c:title>
          <c:tx>
            <c:rich>
              <a:bodyPr/>
              <a:lstStyle/>
              <a:p>
                <a:pPr>
                  <a:defRPr sz="1200" b="1" i="0" u="none" strike="noStrike" baseline="0">
                    <a:solidFill>
                      <a:srgbClr val="000000"/>
                    </a:solidFill>
                    <a:latin typeface="Calibri"/>
                    <a:ea typeface="Calibri"/>
                    <a:cs typeface="Calibri"/>
                  </a:defRPr>
                </a:pPr>
                <a:r>
                  <a:rPr lang="en-US"/>
                  <a:t>Number of Crashes</a:t>
                </a:r>
              </a:p>
            </c:rich>
          </c:tx>
          <c:layout/>
          <c:overlay val="0"/>
        </c:title>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80873344"/>
        <c:crosses val="autoZero"/>
        <c:crossBetween val="between"/>
      </c:valAx>
    </c:plotArea>
    <c:legend>
      <c:legendPos val="r"/>
      <c:layout/>
      <c:overlay val="0"/>
      <c:txPr>
        <a:bodyPr/>
        <a:lstStyle/>
        <a:p>
          <a:pPr>
            <a:defRPr sz="85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pivotSource>
    <c:name>[SHE-CR-8_CAM_Tool_File.xls]Data Analysis!year1</c:name>
    <c:fmtId val="4"/>
  </c:pivotSource>
  <c:chart>
    <c:title>
      <c:tx>
        <c:rich>
          <a:bodyPr/>
          <a:lstStyle/>
          <a:p>
            <a:pPr>
              <a:defRPr sz="1680" b="1" i="0" u="none" strike="noStrike" baseline="0">
                <a:solidFill>
                  <a:srgbClr val="000000"/>
                </a:solidFill>
                <a:latin typeface="Calibri"/>
                <a:ea typeface="Calibri"/>
                <a:cs typeface="Calibri"/>
              </a:defRPr>
            </a:pPr>
            <a:r>
              <a:rPr lang="en-US"/>
              <a:t>Frequency of Crashes by Year</a:t>
            </a:r>
          </a:p>
        </c:rich>
      </c:tx>
      <c:layout/>
      <c:overlay val="0"/>
    </c:title>
    <c:autoTitleDeleted val="0"/>
    <c:pivotFmts>
      <c:pivotFmt>
        <c:idx val="0"/>
        <c:marker>
          <c:symbol val="none"/>
        </c:marker>
        <c:dLbl>
          <c:idx val="0"/>
          <c:spPr/>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dLbl>
      </c:pivotFmt>
      <c:pivotFmt>
        <c:idx val="1"/>
      </c:pivotFmt>
      <c:pivotFmt>
        <c:idx val="2"/>
      </c:pivotFmt>
      <c:pivotFmt>
        <c:idx val="3"/>
        <c:marker>
          <c:symbol val="none"/>
        </c:marker>
        <c:dLbl>
          <c:idx val="0"/>
          <c:spPr/>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dLbl>
      </c:pivotFmt>
      <c:pivotFmt>
        <c:idx val="4"/>
        <c:marker>
          <c:symbol val="none"/>
        </c:marker>
        <c:dLbl>
          <c:idx val="0"/>
          <c:spPr/>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dLbl>
      </c:pivotFmt>
    </c:pivotFmts>
    <c:view3D>
      <c:rotX val="45"/>
      <c:rotY val="0"/>
      <c:rAngAx val="0"/>
      <c:perspective val="0"/>
    </c:view3D>
    <c:floor>
      <c:thickness val="0"/>
    </c:floor>
    <c:sideWall>
      <c:thickness val="0"/>
    </c:sideWall>
    <c:backWall>
      <c:thickness val="0"/>
    </c:backWall>
    <c:plotArea>
      <c:layout/>
      <c:pie3DChart>
        <c:varyColors val="1"/>
        <c:ser>
          <c:idx val="0"/>
          <c:order val="0"/>
          <c:tx>
            <c:strRef>
              <c:f>'Data Analysis'!$G$9</c:f>
              <c:strCache>
                <c:ptCount val="1"/>
                <c:pt idx="0">
                  <c:v>Total</c:v>
                </c:pt>
              </c:strCache>
            </c:strRef>
          </c:tx>
          <c:dPt>
            <c:idx val="0"/>
            <c:bubble3D val="0"/>
          </c:dPt>
          <c:dPt>
            <c:idx val="1"/>
            <c:bubble3D val="0"/>
          </c:dPt>
          <c:dLbls>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showLeaderLines val="1"/>
            <c:leaderLines>
              <c:spPr>
                <a:ln>
                  <a:solidFill>
                    <a:sysClr val="windowText" lastClr="000000"/>
                  </a:solidFill>
                </a:ln>
              </c:spPr>
            </c:leaderLines>
          </c:dLbls>
          <c:cat>
            <c:strRef>
              <c:f>'Data Analysis'!$F$10:$F$17</c:f>
              <c:strCache>
                <c:ptCount val="7"/>
                <c:pt idx="0">
                  <c:v>2006</c:v>
                </c:pt>
                <c:pt idx="1">
                  <c:v>2007</c:v>
                </c:pt>
                <c:pt idx="2">
                  <c:v>2008</c:v>
                </c:pt>
                <c:pt idx="3">
                  <c:v>2009</c:v>
                </c:pt>
                <c:pt idx="4">
                  <c:v>2010</c:v>
                </c:pt>
                <c:pt idx="5">
                  <c:v>2011</c:v>
                </c:pt>
                <c:pt idx="6">
                  <c:v>2012</c:v>
                </c:pt>
              </c:strCache>
            </c:strRef>
          </c:cat>
          <c:val>
            <c:numRef>
              <c:f>'Data Analysis'!$G$10:$G$17</c:f>
              <c:numCache>
                <c:formatCode>General</c:formatCode>
                <c:ptCount val="7"/>
                <c:pt idx="0">
                  <c:v>38</c:v>
                </c:pt>
                <c:pt idx="1">
                  <c:v>51</c:v>
                </c:pt>
                <c:pt idx="2">
                  <c:v>44</c:v>
                </c:pt>
                <c:pt idx="3">
                  <c:v>39</c:v>
                </c:pt>
                <c:pt idx="4">
                  <c:v>34</c:v>
                </c:pt>
                <c:pt idx="5">
                  <c:v>33</c:v>
                </c:pt>
                <c:pt idx="6">
                  <c:v>5</c:v>
                </c:pt>
              </c:numCache>
            </c:numRef>
          </c:val>
        </c:ser>
        <c:dLbls>
          <c:showLegendKey val="0"/>
          <c:showVal val="0"/>
          <c:showCatName val="0"/>
          <c:showSerName val="0"/>
          <c:showPercent val="0"/>
          <c:showBubbleSize val="0"/>
          <c:showLeaderLines val="1"/>
        </c:dLbls>
      </c:pie3DChart>
      <c:spPr>
        <a:noFill/>
        <a:ln w="25400">
          <a:noFill/>
        </a:ln>
      </c:spPr>
    </c:plotArea>
    <c:legend>
      <c:legendPos val="r"/>
      <c:layout/>
      <c:overlay val="0"/>
      <c:txPr>
        <a:bodyPr/>
        <a:lstStyle/>
        <a:p>
          <a:pPr>
            <a:defRPr sz="995" b="1" i="0" u="none" strike="noStrike" baseline="0">
              <a:solidFill>
                <a:srgbClr val="000000"/>
              </a:solidFill>
              <a:latin typeface="Calibri"/>
              <a:ea typeface="Calibri"/>
              <a:cs typeface="Calibri"/>
            </a:defRPr>
          </a:pPr>
          <a:endParaRPr lang="en-US"/>
        </a:p>
      </c:txPr>
    </c:legend>
    <c:plotVisOnly val="1"/>
    <c:dispBlanksAs val="zero"/>
    <c:showDLblsOverMax val="0"/>
  </c:chart>
  <c:spPr>
    <a:gradFill>
      <a:gsLst>
        <a:gs pos="24000">
          <a:sysClr val="window" lastClr="FFFFFF">
            <a:lumMod val="65000"/>
          </a:sysClr>
        </a:gs>
        <a:gs pos="100000">
          <a:srgbClr val="E6E6E6"/>
        </a:gs>
      </a:gsLst>
      <a:lin ang="16200000" scaled="0"/>
    </a:gradFill>
  </c:spPr>
  <c:txPr>
    <a:bodyPr/>
    <a:lstStyle/>
    <a:p>
      <a:pPr>
        <a:defRPr sz="14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pivotSource>
    <c:name>[SHE-CR-8_CAM_Tool_File.xls]Data Analysis!sevyear</c:name>
    <c:fmtId val="4"/>
  </c:pivotSource>
  <c:chart>
    <c:title>
      <c:tx>
        <c:rich>
          <a:bodyPr/>
          <a:lstStyle/>
          <a:p>
            <a:pPr>
              <a:defRPr sz="1440" b="1" i="0" u="none" strike="noStrike" baseline="0">
                <a:solidFill>
                  <a:srgbClr val="000000"/>
                </a:solidFill>
                <a:latin typeface="Calibri"/>
                <a:ea typeface="Calibri"/>
                <a:cs typeface="Calibri"/>
              </a:defRPr>
            </a:pPr>
            <a:r>
              <a:rPr lang="en-US"/>
              <a:t>Frequency of Crashes by Year and Severity</a:t>
            </a: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varyColors val="0"/>
        <c:ser>
          <c:idx val="0"/>
          <c:order val="0"/>
          <c:tx>
            <c:strRef>
              <c:f>'Data Analysis'!$L$3:$L$4</c:f>
              <c:strCache>
                <c:ptCount val="1"/>
                <c:pt idx="0">
                  <c:v>Injury Crash</c:v>
                </c:pt>
              </c:strCache>
            </c:strRef>
          </c:tx>
          <c:invertIfNegative val="0"/>
          <c:cat>
            <c:strRef>
              <c:f>'Data Analysis'!$K$5:$K$12</c:f>
              <c:strCache>
                <c:ptCount val="7"/>
                <c:pt idx="0">
                  <c:v>2006</c:v>
                </c:pt>
                <c:pt idx="1">
                  <c:v>2007</c:v>
                </c:pt>
                <c:pt idx="2">
                  <c:v>2008</c:v>
                </c:pt>
                <c:pt idx="3">
                  <c:v>2009</c:v>
                </c:pt>
                <c:pt idx="4">
                  <c:v>2010</c:v>
                </c:pt>
                <c:pt idx="5">
                  <c:v>2011</c:v>
                </c:pt>
                <c:pt idx="6">
                  <c:v>2012</c:v>
                </c:pt>
              </c:strCache>
            </c:strRef>
          </c:cat>
          <c:val>
            <c:numRef>
              <c:f>'Data Analysis'!$L$5:$L$12</c:f>
              <c:numCache>
                <c:formatCode>General</c:formatCode>
                <c:ptCount val="7"/>
                <c:pt idx="0">
                  <c:v>10</c:v>
                </c:pt>
                <c:pt idx="1">
                  <c:v>10</c:v>
                </c:pt>
                <c:pt idx="2">
                  <c:v>5</c:v>
                </c:pt>
                <c:pt idx="3">
                  <c:v>9</c:v>
                </c:pt>
                <c:pt idx="4">
                  <c:v>5</c:v>
                </c:pt>
                <c:pt idx="5">
                  <c:v>4</c:v>
                </c:pt>
                <c:pt idx="6">
                  <c:v>0</c:v>
                </c:pt>
              </c:numCache>
            </c:numRef>
          </c:val>
        </c:ser>
        <c:ser>
          <c:idx val="1"/>
          <c:order val="1"/>
          <c:tx>
            <c:strRef>
              <c:f>'Data Analysis'!$M$3:$M$4</c:f>
              <c:strCache>
                <c:ptCount val="1"/>
                <c:pt idx="0">
                  <c:v>Property Damage Crash</c:v>
                </c:pt>
              </c:strCache>
            </c:strRef>
          </c:tx>
          <c:invertIfNegative val="0"/>
          <c:cat>
            <c:strRef>
              <c:f>'Data Analysis'!$K$5:$K$12</c:f>
              <c:strCache>
                <c:ptCount val="7"/>
                <c:pt idx="0">
                  <c:v>2006</c:v>
                </c:pt>
                <c:pt idx="1">
                  <c:v>2007</c:v>
                </c:pt>
                <c:pt idx="2">
                  <c:v>2008</c:v>
                </c:pt>
                <c:pt idx="3">
                  <c:v>2009</c:v>
                </c:pt>
                <c:pt idx="4">
                  <c:v>2010</c:v>
                </c:pt>
                <c:pt idx="5">
                  <c:v>2011</c:v>
                </c:pt>
                <c:pt idx="6">
                  <c:v>2012</c:v>
                </c:pt>
              </c:strCache>
            </c:strRef>
          </c:cat>
          <c:val>
            <c:numRef>
              <c:f>'Data Analysis'!$M$5:$M$12</c:f>
              <c:numCache>
                <c:formatCode>General</c:formatCode>
                <c:ptCount val="7"/>
                <c:pt idx="0">
                  <c:v>28</c:v>
                </c:pt>
                <c:pt idx="1">
                  <c:v>40</c:v>
                </c:pt>
                <c:pt idx="2">
                  <c:v>38</c:v>
                </c:pt>
                <c:pt idx="3">
                  <c:v>30</c:v>
                </c:pt>
                <c:pt idx="4">
                  <c:v>29</c:v>
                </c:pt>
                <c:pt idx="5">
                  <c:v>28</c:v>
                </c:pt>
                <c:pt idx="6">
                  <c:v>5</c:v>
                </c:pt>
              </c:numCache>
            </c:numRef>
          </c:val>
        </c:ser>
        <c:ser>
          <c:idx val="2"/>
          <c:order val="2"/>
          <c:tx>
            <c:strRef>
              <c:f>'Data Analysis'!$N$3:$N$4</c:f>
              <c:strCache>
                <c:ptCount val="1"/>
                <c:pt idx="0">
                  <c:v>Fatal Crash</c:v>
                </c:pt>
              </c:strCache>
            </c:strRef>
          </c:tx>
          <c:invertIfNegative val="0"/>
          <c:cat>
            <c:strRef>
              <c:f>'Data Analysis'!$K$5:$K$12</c:f>
              <c:strCache>
                <c:ptCount val="7"/>
                <c:pt idx="0">
                  <c:v>2006</c:v>
                </c:pt>
                <c:pt idx="1">
                  <c:v>2007</c:v>
                </c:pt>
                <c:pt idx="2">
                  <c:v>2008</c:v>
                </c:pt>
                <c:pt idx="3">
                  <c:v>2009</c:v>
                </c:pt>
                <c:pt idx="4">
                  <c:v>2010</c:v>
                </c:pt>
                <c:pt idx="5">
                  <c:v>2011</c:v>
                </c:pt>
                <c:pt idx="6">
                  <c:v>2012</c:v>
                </c:pt>
              </c:strCache>
            </c:strRef>
          </c:cat>
          <c:val>
            <c:numRef>
              <c:f>'Data Analysis'!$N$5:$N$12</c:f>
              <c:numCache>
                <c:formatCode>General</c:formatCode>
                <c:ptCount val="7"/>
                <c:pt idx="0">
                  <c:v>0</c:v>
                </c:pt>
                <c:pt idx="1">
                  <c:v>1</c:v>
                </c:pt>
                <c:pt idx="2">
                  <c:v>1</c:v>
                </c:pt>
                <c:pt idx="3">
                  <c:v>0</c:v>
                </c:pt>
                <c:pt idx="4">
                  <c:v>0</c:v>
                </c:pt>
                <c:pt idx="5">
                  <c:v>1</c:v>
                </c:pt>
                <c:pt idx="6">
                  <c:v>0</c:v>
                </c:pt>
              </c:numCache>
            </c:numRef>
          </c:val>
        </c:ser>
        <c:dLbls>
          <c:showLegendKey val="0"/>
          <c:showVal val="0"/>
          <c:showCatName val="0"/>
          <c:showSerName val="0"/>
          <c:showPercent val="0"/>
          <c:showBubbleSize val="0"/>
        </c:dLbls>
        <c:gapWidth val="150"/>
        <c:axId val="80934784"/>
        <c:axId val="80936320"/>
      </c:barChart>
      <c:catAx>
        <c:axId val="80934784"/>
        <c:scaling>
          <c:orientation val="minMax"/>
        </c:scaling>
        <c:delete val="0"/>
        <c:axPos val="b"/>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80936320"/>
        <c:crosses val="autoZero"/>
        <c:auto val="0"/>
        <c:lblAlgn val="ctr"/>
        <c:lblOffset val="200"/>
        <c:tickLblSkip val="1"/>
        <c:tickMarkSkip val="1"/>
        <c:noMultiLvlLbl val="0"/>
      </c:catAx>
      <c:valAx>
        <c:axId val="80936320"/>
        <c:scaling>
          <c:orientation val="minMax"/>
        </c:scaling>
        <c:delete val="0"/>
        <c:axPos val="l"/>
        <c:majorGridlines/>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80934784"/>
        <c:crosses val="autoZero"/>
        <c:crossBetween val="between"/>
      </c:valAx>
    </c:plotArea>
    <c:legend>
      <c:legendPos val="b"/>
      <c:layout/>
      <c:overlay val="0"/>
      <c:txPr>
        <a:bodyPr/>
        <a:lstStyle/>
        <a:p>
          <a:pPr>
            <a:defRPr sz="85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pivotSource>
    <c:name>[SHE-CR-8_CAM_Tool_File.xls]Data Analysis!hour1</c:name>
    <c:fmtId val="5"/>
  </c:pivotSource>
  <c:chart>
    <c:title>
      <c:tx>
        <c:rich>
          <a:bodyPr/>
          <a:lstStyle/>
          <a:p>
            <a:pPr>
              <a:defRPr sz="1440" b="1" i="0" u="none" strike="noStrike" baseline="0">
                <a:solidFill>
                  <a:srgbClr val="000000"/>
                </a:solidFill>
                <a:latin typeface="Calibri"/>
                <a:ea typeface="Calibri"/>
                <a:cs typeface="Calibri"/>
              </a:defRPr>
            </a:pPr>
            <a:r>
              <a:rPr lang="en-US"/>
              <a:t>Frequency of Crashes by Hour</a:t>
            </a:r>
          </a:p>
        </c:rich>
      </c:tx>
      <c:layout/>
      <c:overlay val="0"/>
    </c:title>
    <c:autoTitleDeleted val="0"/>
    <c:pivotFmts>
      <c:pivotFmt>
        <c:idx val="0"/>
        <c:marker>
          <c:symbol val="none"/>
        </c:marker>
      </c:pivotFmt>
      <c:pivotFmt>
        <c:idx val="1"/>
        <c:marker>
          <c:symbol val="none"/>
        </c:marker>
      </c:pivotFmt>
      <c:pivotFmt>
        <c:idx val="2"/>
        <c:marker>
          <c:symbol val="none"/>
        </c:marker>
      </c:pivotFmt>
    </c:pivotFmts>
    <c:plotArea>
      <c:layout/>
      <c:barChart>
        <c:barDir val="col"/>
        <c:grouping val="stacked"/>
        <c:varyColors val="0"/>
        <c:ser>
          <c:idx val="0"/>
          <c:order val="0"/>
          <c:tx>
            <c:strRef>
              <c:f>'Data Analysis'!$B$29</c:f>
              <c:strCache>
                <c:ptCount val="1"/>
                <c:pt idx="0">
                  <c:v>Total</c:v>
                </c:pt>
              </c:strCache>
            </c:strRef>
          </c:tx>
          <c:invertIfNegative val="0"/>
          <c:cat>
            <c:strRef>
              <c:f>'Data Analysis'!$A$30:$A$54</c:f>
              <c:strCach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'Data Analysis'!$B$30:$B$54</c:f>
              <c:numCache>
                <c:formatCode>General</c:formatCode>
                <c:ptCount val="24"/>
                <c:pt idx="0">
                  <c:v>9</c:v>
                </c:pt>
                <c:pt idx="1">
                  <c:v>4</c:v>
                </c:pt>
                <c:pt idx="2">
                  <c:v>1</c:v>
                </c:pt>
                <c:pt idx="3">
                  <c:v>2</c:v>
                </c:pt>
                <c:pt idx="4">
                  <c:v>2</c:v>
                </c:pt>
                <c:pt idx="5">
                  <c:v>8</c:v>
                </c:pt>
                <c:pt idx="6">
                  <c:v>13</c:v>
                </c:pt>
                <c:pt idx="7">
                  <c:v>14</c:v>
                </c:pt>
                <c:pt idx="8">
                  <c:v>9</c:v>
                </c:pt>
                <c:pt idx="9">
                  <c:v>9</c:v>
                </c:pt>
                <c:pt idx="10">
                  <c:v>10</c:v>
                </c:pt>
                <c:pt idx="11">
                  <c:v>8</c:v>
                </c:pt>
                <c:pt idx="12">
                  <c:v>12</c:v>
                </c:pt>
                <c:pt idx="13">
                  <c:v>5</c:v>
                </c:pt>
                <c:pt idx="14">
                  <c:v>23</c:v>
                </c:pt>
                <c:pt idx="15">
                  <c:v>27</c:v>
                </c:pt>
                <c:pt idx="16">
                  <c:v>13</c:v>
                </c:pt>
                <c:pt idx="17">
                  <c:v>17</c:v>
                </c:pt>
                <c:pt idx="18">
                  <c:v>19</c:v>
                </c:pt>
                <c:pt idx="19">
                  <c:v>12</c:v>
                </c:pt>
                <c:pt idx="20">
                  <c:v>9</c:v>
                </c:pt>
                <c:pt idx="21">
                  <c:v>7</c:v>
                </c:pt>
                <c:pt idx="22">
                  <c:v>9</c:v>
                </c:pt>
                <c:pt idx="23">
                  <c:v>2</c:v>
                </c:pt>
              </c:numCache>
            </c:numRef>
          </c:val>
        </c:ser>
        <c:dLbls>
          <c:showLegendKey val="0"/>
          <c:showVal val="0"/>
          <c:showCatName val="0"/>
          <c:showSerName val="0"/>
          <c:showPercent val="0"/>
          <c:showBubbleSize val="0"/>
        </c:dLbls>
        <c:gapWidth val="150"/>
        <c:overlap val="100"/>
        <c:axId val="80966016"/>
        <c:axId val="80967552"/>
      </c:barChart>
      <c:catAx>
        <c:axId val="80966016"/>
        <c:scaling>
          <c:orientation val="minMax"/>
        </c:scaling>
        <c:delete val="0"/>
        <c:axPos val="b"/>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80967552"/>
        <c:crosses val="autoZero"/>
        <c:auto val="0"/>
        <c:lblAlgn val="ctr"/>
        <c:lblOffset val="100"/>
        <c:tickLblSkip val="1"/>
        <c:tickMarkSkip val="1"/>
        <c:noMultiLvlLbl val="0"/>
      </c:catAx>
      <c:valAx>
        <c:axId val="80967552"/>
        <c:scaling>
          <c:orientation val="minMax"/>
        </c:scaling>
        <c:delete val="0"/>
        <c:axPos val="l"/>
        <c:majorGridlines/>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80966016"/>
        <c:crosses val="autoZero"/>
        <c:crossBetween val="between"/>
      </c:valAx>
      <c:spPr>
        <a:noFill/>
        <a:ln>
          <a:solidFill>
            <a:sysClr val="window" lastClr="FFFFFF">
              <a:lumMod val="50000"/>
            </a:sysClr>
          </a:solidFill>
        </a:ln>
      </c:spPr>
    </c:plotArea>
    <c:plotVisOnly val="1"/>
    <c:dispBlanksAs val="gap"/>
    <c:showDLblsOverMax val="0"/>
  </c:chart>
  <c:spPr>
    <a:solidFill>
      <a:sysClr val="window" lastClr="FFFFFF"/>
    </a:solidFill>
  </c:spPr>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pivotSource>
    <c:name>[SHE-CR-8_CAM_Tool_File.xls]Histograms!Logpoint_Severity</c:name>
    <c:fmtId val="4"/>
  </c:pivotSource>
  <c:chart>
    <c:title>
      <c:tx>
        <c:rich>
          <a:bodyPr/>
          <a:lstStyle/>
          <a:p>
            <a:pPr>
              <a:defRPr sz="1440" b="1" i="0" u="none" strike="noStrike" baseline="0">
                <a:solidFill>
                  <a:srgbClr val="000000"/>
                </a:solidFill>
                <a:latin typeface="Calibri"/>
                <a:ea typeface="Calibri"/>
                <a:cs typeface="Calibri"/>
              </a:defRPr>
            </a:pPr>
            <a:r>
              <a:rPr lang="en-US"/>
              <a:t>Location Frequency Chart by Severity</a:t>
            </a: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stacked"/>
        <c:varyColors val="0"/>
        <c:ser>
          <c:idx val="0"/>
          <c:order val="0"/>
          <c:tx>
            <c:strRef>
              <c:f>Histograms!$AK$2:$AK$3</c:f>
              <c:strCache>
                <c:ptCount val="1"/>
                <c:pt idx="0">
                  <c:v>Property Damage Crash</c:v>
                </c:pt>
              </c:strCache>
            </c:strRef>
          </c:tx>
          <c:invertIfNegative val="0"/>
          <c:cat>
            <c:strRef>
              <c:f>Histograms!$AJ$4:$AJ$59</c:f>
              <c:strCache>
                <c:ptCount val="55"/>
                <c:pt idx="0">
                  <c:v>0.37-0.47</c:v>
                </c:pt>
                <c:pt idx="1">
                  <c:v>0.47-0.57</c:v>
                </c:pt>
                <c:pt idx="2">
                  <c:v>0.57-0.67</c:v>
                </c:pt>
                <c:pt idx="3">
                  <c:v>0.67-0.77</c:v>
                </c:pt>
                <c:pt idx="4">
                  <c:v>0.77-0.87</c:v>
                </c:pt>
                <c:pt idx="5">
                  <c:v>0.87-0.97</c:v>
                </c:pt>
                <c:pt idx="6">
                  <c:v>0.97-1.07</c:v>
                </c:pt>
                <c:pt idx="7">
                  <c:v>1.07-1.17</c:v>
                </c:pt>
                <c:pt idx="8">
                  <c:v>1.17-1.27</c:v>
                </c:pt>
                <c:pt idx="9">
                  <c:v>1.27-1.37</c:v>
                </c:pt>
                <c:pt idx="10">
                  <c:v>1.37-1.47</c:v>
                </c:pt>
                <c:pt idx="11">
                  <c:v>1.47-1.57</c:v>
                </c:pt>
                <c:pt idx="12">
                  <c:v>1.67-1.77</c:v>
                </c:pt>
                <c:pt idx="13">
                  <c:v>1.77-1.87</c:v>
                </c:pt>
                <c:pt idx="14">
                  <c:v>1.87-1.97</c:v>
                </c:pt>
                <c:pt idx="15">
                  <c:v>1.97-2.07</c:v>
                </c:pt>
                <c:pt idx="16">
                  <c:v>2.07-2.17</c:v>
                </c:pt>
                <c:pt idx="17">
                  <c:v>2.17-2.27</c:v>
                </c:pt>
                <c:pt idx="18">
                  <c:v>2.27-2.37</c:v>
                </c:pt>
                <c:pt idx="19">
                  <c:v>2.37-2.47</c:v>
                </c:pt>
                <c:pt idx="20">
                  <c:v>2.47-2.57</c:v>
                </c:pt>
                <c:pt idx="21">
                  <c:v>2.57-2.67</c:v>
                </c:pt>
                <c:pt idx="22">
                  <c:v>2.67-2.77</c:v>
                </c:pt>
                <c:pt idx="23">
                  <c:v>2.77-2.87</c:v>
                </c:pt>
                <c:pt idx="24">
                  <c:v>2.87-2.97</c:v>
                </c:pt>
                <c:pt idx="25">
                  <c:v>2.97-3.07</c:v>
                </c:pt>
                <c:pt idx="26">
                  <c:v>3.07-3.17</c:v>
                </c:pt>
                <c:pt idx="27">
                  <c:v>3.17-3.27</c:v>
                </c:pt>
                <c:pt idx="28">
                  <c:v>3.37-3.47</c:v>
                </c:pt>
                <c:pt idx="29">
                  <c:v>3.47-3.57</c:v>
                </c:pt>
                <c:pt idx="30">
                  <c:v>3.57-3.67</c:v>
                </c:pt>
                <c:pt idx="31">
                  <c:v>3.67-3.77</c:v>
                </c:pt>
                <c:pt idx="32">
                  <c:v>3.77-3.87</c:v>
                </c:pt>
                <c:pt idx="33">
                  <c:v>3.87-3.97</c:v>
                </c:pt>
                <c:pt idx="34">
                  <c:v>3.97-4.07</c:v>
                </c:pt>
                <c:pt idx="35">
                  <c:v>4.07-4.17</c:v>
                </c:pt>
                <c:pt idx="36">
                  <c:v>4.17-4.27</c:v>
                </c:pt>
                <c:pt idx="37">
                  <c:v>4.27-4.37</c:v>
                </c:pt>
                <c:pt idx="38">
                  <c:v>4.37-4.47</c:v>
                </c:pt>
                <c:pt idx="39">
                  <c:v>4.47-4.57</c:v>
                </c:pt>
                <c:pt idx="40">
                  <c:v>4.57-4.67</c:v>
                </c:pt>
                <c:pt idx="41">
                  <c:v>4.67-4.77</c:v>
                </c:pt>
                <c:pt idx="42">
                  <c:v>4.77-4.87</c:v>
                </c:pt>
                <c:pt idx="43">
                  <c:v>4.87-4.97</c:v>
                </c:pt>
                <c:pt idx="44">
                  <c:v>4.97-5.07</c:v>
                </c:pt>
                <c:pt idx="45">
                  <c:v>5.07-5.17</c:v>
                </c:pt>
                <c:pt idx="46">
                  <c:v>5.27-5.37</c:v>
                </c:pt>
                <c:pt idx="47">
                  <c:v>5.37-5.47</c:v>
                </c:pt>
                <c:pt idx="48">
                  <c:v>5.47-5.57</c:v>
                </c:pt>
                <c:pt idx="49">
                  <c:v>5.57-5.67</c:v>
                </c:pt>
                <c:pt idx="50">
                  <c:v>5.67-5.77</c:v>
                </c:pt>
                <c:pt idx="51">
                  <c:v>5.77-5.87</c:v>
                </c:pt>
                <c:pt idx="52">
                  <c:v>5.87-5.97</c:v>
                </c:pt>
                <c:pt idx="53">
                  <c:v>5.97-6.07</c:v>
                </c:pt>
                <c:pt idx="54">
                  <c:v>6.07-6.17</c:v>
                </c:pt>
              </c:strCache>
            </c:strRef>
          </c:cat>
          <c:val>
            <c:numRef>
              <c:f>Histograms!$AK$4:$AK$59</c:f>
              <c:numCache>
                <c:formatCode>General</c:formatCode>
                <c:ptCount val="55"/>
                <c:pt idx="0">
                  <c:v>5</c:v>
                </c:pt>
                <c:pt idx="1">
                  <c:v>4</c:v>
                </c:pt>
                <c:pt idx="2">
                  <c:v>2</c:v>
                </c:pt>
                <c:pt idx="3">
                  <c:v>1</c:v>
                </c:pt>
                <c:pt idx="6">
                  <c:v>1</c:v>
                </c:pt>
                <c:pt idx="7">
                  <c:v>4</c:v>
                </c:pt>
                <c:pt idx="8">
                  <c:v>1</c:v>
                </c:pt>
                <c:pt idx="9">
                  <c:v>1</c:v>
                </c:pt>
                <c:pt idx="10">
                  <c:v>3</c:v>
                </c:pt>
                <c:pt idx="11">
                  <c:v>4</c:v>
                </c:pt>
                <c:pt idx="12">
                  <c:v>1</c:v>
                </c:pt>
                <c:pt idx="13">
                  <c:v>2</c:v>
                </c:pt>
                <c:pt idx="14">
                  <c:v>4</c:v>
                </c:pt>
                <c:pt idx="15">
                  <c:v>3</c:v>
                </c:pt>
                <c:pt idx="16">
                  <c:v>3</c:v>
                </c:pt>
                <c:pt idx="17">
                  <c:v>2</c:v>
                </c:pt>
                <c:pt idx="18">
                  <c:v>1</c:v>
                </c:pt>
                <c:pt idx="19">
                  <c:v>2</c:v>
                </c:pt>
                <c:pt idx="21">
                  <c:v>3</c:v>
                </c:pt>
                <c:pt idx="22">
                  <c:v>4</c:v>
                </c:pt>
                <c:pt idx="23">
                  <c:v>3</c:v>
                </c:pt>
                <c:pt idx="24">
                  <c:v>2</c:v>
                </c:pt>
                <c:pt idx="25">
                  <c:v>1</c:v>
                </c:pt>
                <c:pt idx="26">
                  <c:v>3</c:v>
                </c:pt>
                <c:pt idx="27">
                  <c:v>1</c:v>
                </c:pt>
                <c:pt idx="28">
                  <c:v>3</c:v>
                </c:pt>
                <c:pt idx="29">
                  <c:v>2</c:v>
                </c:pt>
                <c:pt idx="30">
                  <c:v>2</c:v>
                </c:pt>
                <c:pt idx="31">
                  <c:v>5</c:v>
                </c:pt>
                <c:pt idx="32">
                  <c:v>2</c:v>
                </c:pt>
                <c:pt idx="33">
                  <c:v>9</c:v>
                </c:pt>
                <c:pt idx="34">
                  <c:v>3</c:v>
                </c:pt>
                <c:pt idx="35">
                  <c:v>1</c:v>
                </c:pt>
                <c:pt idx="36">
                  <c:v>2</c:v>
                </c:pt>
                <c:pt idx="37">
                  <c:v>9</c:v>
                </c:pt>
                <c:pt idx="38">
                  <c:v>1</c:v>
                </c:pt>
                <c:pt idx="39">
                  <c:v>1</c:v>
                </c:pt>
                <c:pt idx="40">
                  <c:v>5</c:v>
                </c:pt>
                <c:pt idx="41">
                  <c:v>1</c:v>
                </c:pt>
                <c:pt idx="42">
                  <c:v>5</c:v>
                </c:pt>
                <c:pt idx="43">
                  <c:v>3</c:v>
                </c:pt>
                <c:pt idx="44">
                  <c:v>2</c:v>
                </c:pt>
                <c:pt idx="45">
                  <c:v>1</c:v>
                </c:pt>
                <c:pt idx="46">
                  <c:v>2</c:v>
                </c:pt>
                <c:pt idx="47">
                  <c:v>7</c:v>
                </c:pt>
                <c:pt idx="48">
                  <c:v>7</c:v>
                </c:pt>
                <c:pt idx="49">
                  <c:v>11</c:v>
                </c:pt>
                <c:pt idx="50">
                  <c:v>4</c:v>
                </c:pt>
                <c:pt idx="51">
                  <c:v>11</c:v>
                </c:pt>
                <c:pt idx="52">
                  <c:v>18</c:v>
                </c:pt>
                <c:pt idx="53">
                  <c:v>6</c:v>
                </c:pt>
                <c:pt idx="54">
                  <c:v>14</c:v>
                </c:pt>
              </c:numCache>
            </c:numRef>
          </c:val>
        </c:ser>
        <c:ser>
          <c:idx val="1"/>
          <c:order val="1"/>
          <c:tx>
            <c:strRef>
              <c:f>Histograms!$AL$2:$AL$3</c:f>
              <c:strCache>
                <c:ptCount val="1"/>
                <c:pt idx="0">
                  <c:v>Injury Crash</c:v>
                </c:pt>
              </c:strCache>
            </c:strRef>
          </c:tx>
          <c:invertIfNegative val="0"/>
          <c:cat>
            <c:strRef>
              <c:f>Histograms!$AJ$4:$AJ$59</c:f>
              <c:strCache>
                <c:ptCount val="55"/>
                <c:pt idx="0">
                  <c:v>0.37-0.47</c:v>
                </c:pt>
                <c:pt idx="1">
                  <c:v>0.47-0.57</c:v>
                </c:pt>
                <c:pt idx="2">
                  <c:v>0.57-0.67</c:v>
                </c:pt>
                <c:pt idx="3">
                  <c:v>0.67-0.77</c:v>
                </c:pt>
                <c:pt idx="4">
                  <c:v>0.77-0.87</c:v>
                </c:pt>
                <c:pt idx="5">
                  <c:v>0.87-0.97</c:v>
                </c:pt>
                <c:pt idx="6">
                  <c:v>0.97-1.07</c:v>
                </c:pt>
                <c:pt idx="7">
                  <c:v>1.07-1.17</c:v>
                </c:pt>
                <c:pt idx="8">
                  <c:v>1.17-1.27</c:v>
                </c:pt>
                <c:pt idx="9">
                  <c:v>1.27-1.37</c:v>
                </c:pt>
                <c:pt idx="10">
                  <c:v>1.37-1.47</c:v>
                </c:pt>
                <c:pt idx="11">
                  <c:v>1.47-1.57</c:v>
                </c:pt>
                <c:pt idx="12">
                  <c:v>1.67-1.77</c:v>
                </c:pt>
                <c:pt idx="13">
                  <c:v>1.77-1.87</c:v>
                </c:pt>
                <c:pt idx="14">
                  <c:v>1.87-1.97</c:v>
                </c:pt>
                <c:pt idx="15">
                  <c:v>1.97-2.07</c:v>
                </c:pt>
                <c:pt idx="16">
                  <c:v>2.07-2.17</c:v>
                </c:pt>
                <c:pt idx="17">
                  <c:v>2.17-2.27</c:v>
                </c:pt>
                <c:pt idx="18">
                  <c:v>2.27-2.37</c:v>
                </c:pt>
                <c:pt idx="19">
                  <c:v>2.37-2.47</c:v>
                </c:pt>
                <c:pt idx="20">
                  <c:v>2.47-2.57</c:v>
                </c:pt>
                <c:pt idx="21">
                  <c:v>2.57-2.67</c:v>
                </c:pt>
                <c:pt idx="22">
                  <c:v>2.67-2.77</c:v>
                </c:pt>
                <c:pt idx="23">
                  <c:v>2.77-2.87</c:v>
                </c:pt>
                <c:pt idx="24">
                  <c:v>2.87-2.97</c:v>
                </c:pt>
                <c:pt idx="25">
                  <c:v>2.97-3.07</c:v>
                </c:pt>
                <c:pt idx="26">
                  <c:v>3.07-3.17</c:v>
                </c:pt>
                <c:pt idx="27">
                  <c:v>3.17-3.27</c:v>
                </c:pt>
                <c:pt idx="28">
                  <c:v>3.37-3.47</c:v>
                </c:pt>
                <c:pt idx="29">
                  <c:v>3.47-3.57</c:v>
                </c:pt>
                <c:pt idx="30">
                  <c:v>3.57-3.67</c:v>
                </c:pt>
                <c:pt idx="31">
                  <c:v>3.67-3.77</c:v>
                </c:pt>
                <c:pt idx="32">
                  <c:v>3.77-3.87</c:v>
                </c:pt>
                <c:pt idx="33">
                  <c:v>3.87-3.97</c:v>
                </c:pt>
                <c:pt idx="34">
                  <c:v>3.97-4.07</c:v>
                </c:pt>
                <c:pt idx="35">
                  <c:v>4.07-4.17</c:v>
                </c:pt>
                <c:pt idx="36">
                  <c:v>4.17-4.27</c:v>
                </c:pt>
                <c:pt idx="37">
                  <c:v>4.27-4.37</c:v>
                </c:pt>
                <c:pt idx="38">
                  <c:v>4.37-4.47</c:v>
                </c:pt>
                <c:pt idx="39">
                  <c:v>4.47-4.57</c:v>
                </c:pt>
                <c:pt idx="40">
                  <c:v>4.57-4.67</c:v>
                </c:pt>
                <c:pt idx="41">
                  <c:v>4.67-4.77</c:v>
                </c:pt>
                <c:pt idx="42">
                  <c:v>4.77-4.87</c:v>
                </c:pt>
                <c:pt idx="43">
                  <c:v>4.87-4.97</c:v>
                </c:pt>
                <c:pt idx="44">
                  <c:v>4.97-5.07</c:v>
                </c:pt>
                <c:pt idx="45">
                  <c:v>5.07-5.17</c:v>
                </c:pt>
                <c:pt idx="46">
                  <c:v>5.27-5.37</c:v>
                </c:pt>
                <c:pt idx="47">
                  <c:v>5.37-5.47</c:v>
                </c:pt>
                <c:pt idx="48">
                  <c:v>5.47-5.57</c:v>
                </c:pt>
                <c:pt idx="49">
                  <c:v>5.57-5.67</c:v>
                </c:pt>
                <c:pt idx="50">
                  <c:v>5.67-5.77</c:v>
                </c:pt>
                <c:pt idx="51">
                  <c:v>5.77-5.87</c:v>
                </c:pt>
                <c:pt idx="52">
                  <c:v>5.87-5.97</c:v>
                </c:pt>
                <c:pt idx="53">
                  <c:v>5.97-6.07</c:v>
                </c:pt>
                <c:pt idx="54">
                  <c:v>6.07-6.17</c:v>
                </c:pt>
              </c:strCache>
            </c:strRef>
          </c:cat>
          <c:val>
            <c:numRef>
              <c:f>Histograms!$AL$4:$AL$59</c:f>
              <c:numCache>
                <c:formatCode>General</c:formatCode>
                <c:ptCount val="55"/>
                <c:pt idx="0">
                  <c:v>1</c:v>
                </c:pt>
                <c:pt idx="1">
                  <c:v>2</c:v>
                </c:pt>
                <c:pt idx="4">
                  <c:v>2</c:v>
                </c:pt>
                <c:pt idx="6">
                  <c:v>1</c:v>
                </c:pt>
                <c:pt idx="10">
                  <c:v>1</c:v>
                </c:pt>
                <c:pt idx="18">
                  <c:v>1</c:v>
                </c:pt>
                <c:pt idx="20">
                  <c:v>3</c:v>
                </c:pt>
                <c:pt idx="21">
                  <c:v>1</c:v>
                </c:pt>
                <c:pt idx="22">
                  <c:v>1</c:v>
                </c:pt>
                <c:pt idx="23">
                  <c:v>1</c:v>
                </c:pt>
                <c:pt idx="26">
                  <c:v>4</c:v>
                </c:pt>
                <c:pt idx="32">
                  <c:v>3</c:v>
                </c:pt>
                <c:pt idx="33">
                  <c:v>1</c:v>
                </c:pt>
                <c:pt idx="34">
                  <c:v>1</c:v>
                </c:pt>
                <c:pt idx="36">
                  <c:v>3</c:v>
                </c:pt>
                <c:pt idx="39">
                  <c:v>1</c:v>
                </c:pt>
                <c:pt idx="40">
                  <c:v>2</c:v>
                </c:pt>
                <c:pt idx="43">
                  <c:v>1</c:v>
                </c:pt>
                <c:pt idx="45">
                  <c:v>1</c:v>
                </c:pt>
                <c:pt idx="46">
                  <c:v>1</c:v>
                </c:pt>
                <c:pt idx="47">
                  <c:v>3</c:v>
                </c:pt>
                <c:pt idx="48">
                  <c:v>1</c:v>
                </c:pt>
                <c:pt idx="49">
                  <c:v>1</c:v>
                </c:pt>
                <c:pt idx="52">
                  <c:v>2</c:v>
                </c:pt>
                <c:pt idx="53">
                  <c:v>2</c:v>
                </c:pt>
                <c:pt idx="54">
                  <c:v>2</c:v>
                </c:pt>
              </c:numCache>
            </c:numRef>
          </c:val>
        </c:ser>
        <c:ser>
          <c:idx val="2"/>
          <c:order val="2"/>
          <c:tx>
            <c:strRef>
              <c:f>Histograms!$AM$2:$AM$3</c:f>
              <c:strCache>
                <c:ptCount val="1"/>
                <c:pt idx="0">
                  <c:v>Fatal Crash</c:v>
                </c:pt>
              </c:strCache>
            </c:strRef>
          </c:tx>
          <c:invertIfNegative val="0"/>
          <c:cat>
            <c:strRef>
              <c:f>Histograms!$AJ$4:$AJ$59</c:f>
              <c:strCache>
                <c:ptCount val="55"/>
                <c:pt idx="0">
                  <c:v>0.37-0.47</c:v>
                </c:pt>
                <c:pt idx="1">
                  <c:v>0.47-0.57</c:v>
                </c:pt>
                <c:pt idx="2">
                  <c:v>0.57-0.67</c:v>
                </c:pt>
                <c:pt idx="3">
                  <c:v>0.67-0.77</c:v>
                </c:pt>
                <c:pt idx="4">
                  <c:v>0.77-0.87</c:v>
                </c:pt>
                <c:pt idx="5">
                  <c:v>0.87-0.97</c:v>
                </c:pt>
                <c:pt idx="6">
                  <c:v>0.97-1.07</c:v>
                </c:pt>
                <c:pt idx="7">
                  <c:v>1.07-1.17</c:v>
                </c:pt>
                <c:pt idx="8">
                  <c:v>1.17-1.27</c:v>
                </c:pt>
                <c:pt idx="9">
                  <c:v>1.27-1.37</c:v>
                </c:pt>
                <c:pt idx="10">
                  <c:v>1.37-1.47</c:v>
                </c:pt>
                <c:pt idx="11">
                  <c:v>1.47-1.57</c:v>
                </c:pt>
                <c:pt idx="12">
                  <c:v>1.67-1.77</c:v>
                </c:pt>
                <c:pt idx="13">
                  <c:v>1.77-1.87</c:v>
                </c:pt>
                <c:pt idx="14">
                  <c:v>1.87-1.97</c:v>
                </c:pt>
                <c:pt idx="15">
                  <c:v>1.97-2.07</c:v>
                </c:pt>
                <c:pt idx="16">
                  <c:v>2.07-2.17</c:v>
                </c:pt>
                <c:pt idx="17">
                  <c:v>2.17-2.27</c:v>
                </c:pt>
                <c:pt idx="18">
                  <c:v>2.27-2.37</c:v>
                </c:pt>
                <c:pt idx="19">
                  <c:v>2.37-2.47</c:v>
                </c:pt>
                <c:pt idx="20">
                  <c:v>2.47-2.57</c:v>
                </c:pt>
                <c:pt idx="21">
                  <c:v>2.57-2.67</c:v>
                </c:pt>
                <c:pt idx="22">
                  <c:v>2.67-2.77</c:v>
                </c:pt>
                <c:pt idx="23">
                  <c:v>2.77-2.87</c:v>
                </c:pt>
                <c:pt idx="24">
                  <c:v>2.87-2.97</c:v>
                </c:pt>
                <c:pt idx="25">
                  <c:v>2.97-3.07</c:v>
                </c:pt>
                <c:pt idx="26">
                  <c:v>3.07-3.17</c:v>
                </c:pt>
                <c:pt idx="27">
                  <c:v>3.17-3.27</c:v>
                </c:pt>
                <c:pt idx="28">
                  <c:v>3.37-3.47</c:v>
                </c:pt>
                <c:pt idx="29">
                  <c:v>3.47-3.57</c:v>
                </c:pt>
                <c:pt idx="30">
                  <c:v>3.57-3.67</c:v>
                </c:pt>
                <c:pt idx="31">
                  <c:v>3.67-3.77</c:v>
                </c:pt>
                <c:pt idx="32">
                  <c:v>3.77-3.87</c:v>
                </c:pt>
                <c:pt idx="33">
                  <c:v>3.87-3.97</c:v>
                </c:pt>
                <c:pt idx="34">
                  <c:v>3.97-4.07</c:v>
                </c:pt>
                <c:pt idx="35">
                  <c:v>4.07-4.17</c:v>
                </c:pt>
                <c:pt idx="36">
                  <c:v>4.17-4.27</c:v>
                </c:pt>
                <c:pt idx="37">
                  <c:v>4.27-4.37</c:v>
                </c:pt>
                <c:pt idx="38">
                  <c:v>4.37-4.47</c:v>
                </c:pt>
                <c:pt idx="39">
                  <c:v>4.47-4.57</c:v>
                </c:pt>
                <c:pt idx="40">
                  <c:v>4.57-4.67</c:v>
                </c:pt>
                <c:pt idx="41">
                  <c:v>4.67-4.77</c:v>
                </c:pt>
                <c:pt idx="42">
                  <c:v>4.77-4.87</c:v>
                </c:pt>
                <c:pt idx="43">
                  <c:v>4.87-4.97</c:v>
                </c:pt>
                <c:pt idx="44">
                  <c:v>4.97-5.07</c:v>
                </c:pt>
                <c:pt idx="45">
                  <c:v>5.07-5.17</c:v>
                </c:pt>
                <c:pt idx="46">
                  <c:v>5.27-5.37</c:v>
                </c:pt>
                <c:pt idx="47">
                  <c:v>5.37-5.47</c:v>
                </c:pt>
                <c:pt idx="48">
                  <c:v>5.47-5.57</c:v>
                </c:pt>
                <c:pt idx="49">
                  <c:v>5.57-5.67</c:v>
                </c:pt>
                <c:pt idx="50">
                  <c:v>5.67-5.77</c:v>
                </c:pt>
                <c:pt idx="51">
                  <c:v>5.77-5.87</c:v>
                </c:pt>
                <c:pt idx="52">
                  <c:v>5.87-5.97</c:v>
                </c:pt>
                <c:pt idx="53">
                  <c:v>5.97-6.07</c:v>
                </c:pt>
                <c:pt idx="54">
                  <c:v>6.07-6.17</c:v>
                </c:pt>
              </c:strCache>
            </c:strRef>
          </c:cat>
          <c:val>
            <c:numRef>
              <c:f>Histograms!$AM$4:$AM$59</c:f>
              <c:numCache>
                <c:formatCode>General</c:formatCode>
                <c:ptCount val="55"/>
                <c:pt idx="5">
                  <c:v>1</c:v>
                </c:pt>
                <c:pt idx="36">
                  <c:v>1</c:v>
                </c:pt>
                <c:pt idx="42">
                  <c:v>1</c:v>
                </c:pt>
              </c:numCache>
            </c:numRef>
          </c:val>
        </c:ser>
        <c:dLbls>
          <c:showLegendKey val="0"/>
          <c:showVal val="0"/>
          <c:showCatName val="0"/>
          <c:showSerName val="0"/>
          <c:showPercent val="0"/>
          <c:showBubbleSize val="0"/>
        </c:dLbls>
        <c:gapWidth val="150"/>
        <c:overlap val="100"/>
        <c:axId val="81001088"/>
        <c:axId val="81007360"/>
      </c:barChart>
      <c:catAx>
        <c:axId val="81001088"/>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en-US"/>
                  <a:t>Logpoint</a:t>
                </a:r>
              </a:p>
            </c:rich>
          </c:tx>
          <c:layout/>
          <c:overlay val="0"/>
        </c:title>
        <c:numFmt formatCode="General" sourceLinked="1"/>
        <c:majorTickMark val="out"/>
        <c:minorTickMark val="none"/>
        <c:tickLblPos val="nextTo"/>
        <c:txPr>
          <a:bodyPr rot="-5400000" vert="horz"/>
          <a:lstStyle/>
          <a:p>
            <a:pPr>
              <a:defRPr sz="1200" b="1" i="0" u="none" strike="noStrike" baseline="0">
                <a:solidFill>
                  <a:srgbClr val="000000"/>
                </a:solidFill>
                <a:latin typeface="Calibri"/>
                <a:ea typeface="Calibri"/>
                <a:cs typeface="Calibri"/>
              </a:defRPr>
            </a:pPr>
            <a:endParaRPr lang="en-US"/>
          </a:p>
        </c:txPr>
        <c:crossAx val="81007360"/>
        <c:crosses val="autoZero"/>
        <c:auto val="0"/>
        <c:lblAlgn val="ctr"/>
        <c:lblOffset val="100"/>
        <c:tickLblSkip val="1"/>
        <c:tickMarkSkip val="1"/>
        <c:noMultiLvlLbl val="0"/>
      </c:catAx>
      <c:valAx>
        <c:axId val="81007360"/>
        <c:scaling>
          <c:orientation val="minMax"/>
        </c:scaling>
        <c:delete val="0"/>
        <c:axPos val="l"/>
        <c:majorGridlines/>
        <c:title>
          <c:tx>
            <c:rich>
              <a:bodyPr/>
              <a:lstStyle/>
              <a:p>
                <a:pPr>
                  <a:defRPr sz="1200" b="1" i="0" u="none" strike="noStrike" baseline="0">
                    <a:solidFill>
                      <a:srgbClr val="000000"/>
                    </a:solidFill>
                    <a:latin typeface="Calibri"/>
                    <a:ea typeface="Calibri"/>
                    <a:cs typeface="Calibri"/>
                  </a:defRPr>
                </a:pPr>
                <a:r>
                  <a:rPr lang="en-US"/>
                  <a:t>Number of Crashes</a:t>
                </a:r>
              </a:p>
            </c:rich>
          </c:tx>
          <c:layout/>
          <c:overlay val="0"/>
        </c:title>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81001088"/>
        <c:crosses val="autoZero"/>
        <c:crossBetween val="between"/>
      </c:valAx>
    </c:plotArea>
    <c:legend>
      <c:legendPos val="b"/>
      <c:layout/>
      <c:overlay val="0"/>
      <c:txPr>
        <a:bodyPr/>
        <a:lstStyle/>
        <a:p>
          <a:pPr>
            <a:defRPr sz="85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pivotSource>
    <c:name>[CAM Tool Excel 2002-2003.xls]Data Analysis!sevyear</c:name>
    <c:fmtId val="-1"/>
  </c:pivotSource>
  <c:chart>
    <c:title>
      <c:tx>
        <c:rich>
          <a:bodyPr/>
          <a:lstStyle/>
          <a:p>
            <a:pPr>
              <a:defRPr sz="1440" b="1" i="0" u="none" strike="noStrike" baseline="0">
                <a:solidFill>
                  <a:srgbClr val="000000"/>
                </a:solidFill>
                <a:latin typeface="Calibri"/>
                <a:ea typeface="Calibri"/>
                <a:cs typeface="Calibri"/>
              </a:defRPr>
            </a:pPr>
            <a:r>
              <a:rPr lang="en-US"/>
              <a:t>Frequency of Crashes by Year and Severity</a:t>
            </a: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varyColors val="0"/>
        <c:ser>
          <c:idx val="0"/>
          <c:order val="0"/>
          <c:tx>
            <c:strRef>
              <c:f>'Data Analysis'!$L$3:$L$4</c:f>
              <c:strCache>
                <c:ptCount val="1"/>
                <c:pt idx="0">
                  <c:v>Property Damage Crash</c:v>
                </c:pt>
              </c:strCache>
            </c:strRef>
          </c:tx>
          <c:invertIfNegative val="0"/>
          <c:cat>
            <c:strRef>
              <c:f>'Data Analysis'!$K$5:$K$11</c:f>
              <c:strCache>
                <c:ptCount val="6"/>
                <c:pt idx="0">
                  <c:v>2006</c:v>
                </c:pt>
                <c:pt idx="1">
                  <c:v>2007</c:v>
                </c:pt>
                <c:pt idx="2">
                  <c:v>2008</c:v>
                </c:pt>
                <c:pt idx="3">
                  <c:v>2009</c:v>
                </c:pt>
                <c:pt idx="4">
                  <c:v>2010</c:v>
                </c:pt>
                <c:pt idx="5">
                  <c:v>2011</c:v>
                </c:pt>
              </c:strCache>
            </c:strRef>
          </c:cat>
          <c:val>
            <c:numRef>
              <c:f>'Data Analysis'!$L$5:$L$11</c:f>
              <c:numCache>
                <c:formatCode>General</c:formatCode>
                <c:ptCount val="6"/>
                <c:pt idx="0">
                  <c:v>3</c:v>
                </c:pt>
                <c:pt idx="1">
                  <c:v>3</c:v>
                </c:pt>
                <c:pt idx="2">
                  <c:v>1</c:v>
                </c:pt>
                <c:pt idx="3">
                  <c:v>1</c:v>
                </c:pt>
                <c:pt idx="4">
                  <c:v>4</c:v>
                </c:pt>
                <c:pt idx="5">
                  <c:v>1</c:v>
                </c:pt>
              </c:numCache>
            </c:numRef>
          </c:val>
        </c:ser>
        <c:ser>
          <c:idx val="1"/>
          <c:order val="1"/>
          <c:tx>
            <c:strRef>
              <c:f>'Data Analysis'!$M$3:$M$4</c:f>
              <c:strCache>
                <c:ptCount val="1"/>
                <c:pt idx="0">
                  <c:v>Injury Crash</c:v>
                </c:pt>
              </c:strCache>
            </c:strRef>
          </c:tx>
          <c:invertIfNegative val="0"/>
          <c:cat>
            <c:strRef>
              <c:f>'Data Analysis'!$K$5:$K$11</c:f>
              <c:strCache>
                <c:ptCount val="6"/>
                <c:pt idx="0">
                  <c:v>2006</c:v>
                </c:pt>
                <c:pt idx="1">
                  <c:v>2007</c:v>
                </c:pt>
                <c:pt idx="2">
                  <c:v>2008</c:v>
                </c:pt>
                <c:pt idx="3">
                  <c:v>2009</c:v>
                </c:pt>
                <c:pt idx="4">
                  <c:v>2010</c:v>
                </c:pt>
                <c:pt idx="5">
                  <c:v>2011</c:v>
                </c:pt>
              </c:strCache>
            </c:strRef>
          </c:cat>
          <c:val>
            <c:numRef>
              <c:f>'Data Analysis'!$M$5:$M$11</c:f>
              <c:numCache>
                <c:formatCode>General</c:formatCode>
                <c:ptCount val="6"/>
                <c:pt idx="0">
                  <c:v>1</c:v>
                </c:pt>
                <c:pt idx="1">
                  <c:v>2</c:v>
                </c:pt>
                <c:pt idx="2">
                  <c:v>0</c:v>
                </c:pt>
                <c:pt idx="3">
                  <c:v>1</c:v>
                </c:pt>
                <c:pt idx="4">
                  <c:v>1</c:v>
                </c:pt>
                <c:pt idx="5">
                  <c:v>0</c:v>
                </c:pt>
              </c:numCache>
            </c:numRef>
          </c:val>
        </c:ser>
        <c:ser>
          <c:idx val="2"/>
          <c:order val="2"/>
          <c:tx>
            <c:strRef>
              <c:f>'Data Analysis'!$N$3:$N$4</c:f>
              <c:strCache>
                <c:ptCount val="1"/>
                <c:pt idx="0">
                  <c:v>Fatal Crash</c:v>
                </c:pt>
              </c:strCache>
            </c:strRef>
          </c:tx>
          <c:invertIfNegative val="0"/>
          <c:cat>
            <c:strRef>
              <c:f>'Data Analysis'!$K$5:$K$11</c:f>
              <c:strCache>
                <c:ptCount val="6"/>
                <c:pt idx="0">
                  <c:v>2006</c:v>
                </c:pt>
                <c:pt idx="1">
                  <c:v>2007</c:v>
                </c:pt>
                <c:pt idx="2">
                  <c:v>2008</c:v>
                </c:pt>
                <c:pt idx="3">
                  <c:v>2009</c:v>
                </c:pt>
                <c:pt idx="4">
                  <c:v>2010</c:v>
                </c:pt>
                <c:pt idx="5">
                  <c:v>2011</c:v>
                </c:pt>
              </c:strCache>
            </c:strRef>
          </c:cat>
          <c:val>
            <c:numRef>
              <c:f>'Data Analysis'!$N$5:$N$11</c:f>
              <c:numCache>
                <c:formatCode>General</c:formatCode>
                <c:ptCount val="6"/>
                <c:pt idx="0">
                  <c:v>0</c:v>
                </c:pt>
                <c:pt idx="1">
                  <c:v>0</c:v>
                </c:pt>
                <c:pt idx="2">
                  <c:v>0</c:v>
                </c:pt>
                <c:pt idx="3">
                  <c:v>1</c:v>
                </c:pt>
                <c:pt idx="4">
                  <c:v>0</c:v>
                </c:pt>
                <c:pt idx="5">
                  <c:v>0</c:v>
                </c:pt>
              </c:numCache>
            </c:numRef>
          </c:val>
        </c:ser>
        <c:dLbls>
          <c:showLegendKey val="0"/>
          <c:showVal val="0"/>
          <c:showCatName val="0"/>
          <c:showSerName val="0"/>
          <c:showPercent val="0"/>
          <c:showBubbleSize val="0"/>
        </c:dLbls>
        <c:gapWidth val="150"/>
        <c:axId val="78664448"/>
        <c:axId val="78665984"/>
      </c:barChart>
      <c:catAx>
        <c:axId val="78664448"/>
        <c:scaling>
          <c:orientation val="minMax"/>
        </c:scaling>
        <c:delete val="0"/>
        <c:axPos val="b"/>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78665984"/>
        <c:crosses val="autoZero"/>
        <c:auto val="0"/>
        <c:lblAlgn val="ctr"/>
        <c:lblOffset val="200"/>
        <c:tickLblSkip val="1"/>
        <c:tickMarkSkip val="1"/>
        <c:noMultiLvlLbl val="0"/>
      </c:catAx>
      <c:valAx>
        <c:axId val="78665984"/>
        <c:scaling>
          <c:orientation val="minMax"/>
        </c:scaling>
        <c:delete val="0"/>
        <c:axPos val="l"/>
        <c:majorGridlines/>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78664448"/>
        <c:crosses val="autoZero"/>
        <c:crossBetween val="between"/>
      </c:valAx>
    </c:plotArea>
    <c:legend>
      <c:legendPos val="b"/>
      <c:layout/>
      <c:overlay val="0"/>
      <c:txPr>
        <a:bodyPr/>
        <a:lstStyle/>
        <a:p>
          <a:pPr>
            <a:defRPr sz="85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pivotSource>
    <c:name>[SHE-CR-8_CAM_Tool_File.xls]Histograms!Crash_Type</c:name>
    <c:fmtId val="4"/>
  </c:pivotSource>
  <c:chart>
    <c:title>
      <c:tx>
        <c:rich>
          <a:bodyPr/>
          <a:lstStyle/>
          <a:p>
            <a:pPr>
              <a:defRPr sz="1440" b="1" i="0" u="none" strike="noStrike" baseline="0">
                <a:solidFill>
                  <a:srgbClr val="000000"/>
                </a:solidFill>
                <a:latin typeface="Calibri"/>
                <a:ea typeface="Calibri"/>
                <a:cs typeface="Calibri"/>
              </a:defRPr>
            </a:pPr>
            <a:r>
              <a:rPr lang="en-US"/>
              <a:t>Location Frequency Chart by Type of Crash</a:t>
            </a: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s>
    <c:plotArea>
      <c:layout/>
      <c:barChart>
        <c:barDir val="col"/>
        <c:grouping val="stacked"/>
        <c:varyColors val="0"/>
        <c:ser>
          <c:idx val="0"/>
          <c:order val="0"/>
          <c:tx>
            <c:strRef>
              <c:f>Histograms!$AP$2:$AP$3</c:f>
              <c:strCache>
                <c:ptCount val="1"/>
                <c:pt idx="0">
                  <c:v>Fixed Object</c:v>
                </c:pt>
              </c:strCache>
            </c:strRef>
          </c:tx>
          <c:invertIfNegative val="0"/>
          <c:cat>
            <c:strRef>
              <c:f>Histograms!$AO$4:$AO$59</c:f>
              <c:strCache>
                <c:ptCount val="55"/>
                <c:pt idx="0">
                  <c:v>0.37-0.47</c:v>
                </c:pt>
                <c:pt idx="1">
                  <c:v>0.47-0.57</c:v>
                </c:pt>
                <c:pt idx="2">
                  <c:v>0.57-0.67</c:v>
                </c:pt>
                <c:pt idx="3">
                  <c:v>0.67-0.77</c:v>
                </c:pt>
                <c:pt idx="4">
                  <c:v>0.77-0.87</c:v>
                </c:pt>
                <c:pt idx="5">
                  <c:v>0.87-0.97</c:v>
                </c:pt>
                <c:pt idx="6">
                  <c:v>0.97-1.07</c:v>
                </c:pt>
                <c:pt idx="7">
                  <c:v>1.07-1.17</c:v>
                </c:pt>
                <c:pt idx="8">
                  <c:v>1.17-1.27</c:v>
                </c:pt>
                <c:pt idx="9">
                  <c:v>1.27-1.37</c:v>
                </c:pt>
                <c:pt idx="10">
                  <c:v>1.37-1.47</c:v>
                </c:pt>
                <c:pt idx="11">
                  <c:v>1.47-1.57</c:v>
                </c:pt>
                <c:pt idx="12">
                  <c:v>1.67-1.77</c:v>
                </c:pt>
                <c:pt idx="13">
                  <c:v>1.77-1.87</c:v>
                </c:pt>
                <c:pt idx="14">
                  <c:v>1.87-1.97</c:v>
                </c:pt>
                <c:pt idx="15">
                  <c:v>1.97-2.07</c:v>
                </c:pt>
                <c:pt idx="16">
                  <c:v>2.07-2.17</c:v>
                </c:pt>
                <c:pt idx="17">
                  <c:v>2.17-2.27</c:v>
                </c:pt>
                <c:pt idx="18">
                  <c:v>2.27-2.37</c:v>
                </c:pt>
                <c:pt idx="19">
                  <c:v>2.37-2.47</c:v>
                </c:pt>
                <c:pt idx="20">
                  <c:v>2.47-2.57</c:v>
                </c:pt>
                <c:pt idx="21">
                  <c:v>2.57-2.67</c:v>
                </c:pt>
                <c:pt idx="22">
                  <c:v>2.67-2.77</c:v>
                </c:pt>
                <c:pt idx="23">
                  <c:v>2.77-2.87</c:v>
                </c:pt>
                <c:pt idx="24">
                  <c:v>2.87-2.97</c:v>
                </c:pt>
                <c:pt idx="25">
                  <c:v>2.97-3.07</c:v>
                </c:pt>
                <c:pt idx="26">
                  <c:v>3.07-3.17</c:v>
                </c:pt>
                <c:pt idx="27">
                  <c:v>3.17-3.27</c:v>
                </c:pt>
                <c:pt idx="28">
                  <c:v>3.37-3.47</c:v>
                </c:pt>
                <c:pt idx="29">
                  <c:v>3.47-3.57</c:v>
                </c:pt>
                <c:pt idx="30">
                  <c:v>3.57-3.67</c:v>
                </c:pt>
                <c:pt idx="31">
                  <c:v>3.67-3.77</c:v>
                </c:pt>
                <c:pt idx="32">
                  <c:v>3.77-3.87</c:v>
                </c:pt>
                <c:pt idx="33">
                  <c:v>3.87-3.97</c:v>
                </c:pt>
                <c:pt idx="34">
                  <c:v>3.97-4.07</c:v>
                </c:pt>
                <c:pt idx="35">
                  <c:v>4.07-4.17</c:v>
                </c:pt>
                <c:pt idx="36">
                  <c:v>4.17-4.27</c:v>
                </c:pt>
                <c:pt idx="37">
                  <c:v>4.27-4.37</c:v>
                </c:pt>
                <c:pt idx="38">
                  <c:v>4.37-4.47</c:v>
                </c:pt>
                <c:pt idx="39">
                  <c:v>4.47-4.57</c:v>
                </c:pt>
                <c:pt idx="40">
                  <c:v>4.57-4.67</c:v>
                </c:pt>
                <c:pt idx="41">
                  <c:v>4.67-4.77</c:v>
                </c:pt>
                <c:pt idx="42">
                  <c:v>4.77-4.87</c:v>
                </c:pt>
                <c:pt idx="43">
                  <c:v>4.87-4.97</c:v>
                </c:pt>
                <c:pt idx="44">
                  <c:v>4.97-5.07</c:v>
                </c:pt>
                <c:pt idx="45">
                  <c:v>5.07-5.17</c:v>
                </c:pt>
                <c:pt idx="46">
                  <c:v>5.27-5.37</c:v>
                </c:pt>
                <c:pt idx="47">
                  <c:v>5.37-5.47</c:v>
                </c:pt>
                <c:pt idx="48">
                  <c:v>5.47-5.57</c:v>
                </c:pt>
                <c:pt idx="49">
                  <c:v>5.57-5.67</c:v>
                </c:pt>
                <c:pt idx="50">
                  <c:v>5.67-5.77</c:v>
                </c:pt>
                <c:pt idx="51">
                  <c:v>5.77-5.87</c:v>
                </c:pt>
                <c:pt idx="52">
                  <c:v>5.87-5.97</c:v>
                </c:pt>
                <c:pt idx="53">
                  <c:v>5.97-6.07</c:v>
                </c:pt>
                <c:pt idx="54">
                  <c:v>6.07-6.17</c:v>
                </c:pt>
              </c:strCache>
            </c:strRef>
          </c:cat>
          <c:val>
            <c:numRef>
              <c:f>Histograms!$AP$4:$AP$59</c:f>
              <c:numCache>
                <c:formatCode>General</c:formatCode>
                <c:ptCount val="55"/>
                <c:pt idx="0">
                  <c:v>4</c:v>
                </c:pt>
                <c:pt idx="1">
                  <c:v>3</c:v>
                </c:pt>
                <c:pt idx="2">
                  <c:v>1</c:v>
                </c:pt>
                <c:pt idx="4">
                  <c:v>1</c:v>
                </c:pt>
                <c:pt idx="6">
                  <c:v>1</c:v>
                </c:pt>
                <c:pt idx="10">
                  <c:v>1</c:v>
                </c:pt>
                <c:pt idx="11">
                  <c:v>1</c:v>
                </c:pt>
                <c:pt idx="14">
                  <c:v>1</c:v>
                </c:pt>
                <c:pt idx="15">
                  <c:v>2</c:v>
                </c:pt>
                <c:pt idx="16">
                  <c:v>2</c:v>
                </c:pt>
                <c:pt idx="17">
                  <c:v>2</c:v>
                </c:pt>
                <c:pt idx="18">
                  <c:v>1</c:v>
                </c:pt>
                <c:pt idx="21">
                  <c:v>1</c:v>
                </c:pt>
                <c:pt idx="22">
                  <c:v>1</c:v>
                </c:pt>
                <c:pt idx="23">
                  <c:v>2</c:v>
                </c:pt>
                <c:pt idx="24">
                  <c:v>1</c:v>
                </c:pt>
                <c:pt idx="25">
                  <c:v>1</c:v>
                </c:pt>
                <c:pt idx="26">
                  <c:v>6</c:v>
                </c:pt>
                <c:pt idx="27">
                  <c:v>1</c:v>
                </c:pt>
                <c:pt idx="28">
                  <c:v>2</c:v>
                </c:pt>
                <c:pt idx="29">
                  <c:v>1</c:v>
                </c:pt>
                <c:pt idx="30">
                  <c:v>2</c:v>
                </c:pt>
                <c:pt idx="31">
                  <c:v>2</c:v>
                </c:pt>
                <c:pt idx="33">
                  <c:v>2</c:v>
                </c:pt>
                <c:pt idx="34">
                  <c:v>1</c:v>
                </c:pt>
                <c:pt idx="35">
                  <c:v>1</c:v>
                </c:pt>
                <c:pt idx="36">
                  <c:v>3</c:v>
                </c:pt>
                <c:pt idx="37">
                  <c:v>5</c:v>
                </c:pt>
                <c:pt idx="38">
                  <c:v>1</c:v>
                </c:pt>
                <c:pt idx="40">
                  <c:v>1</c:v>
                </c:pt>
                <c:pt idx="42">
                  <c:v>2</c:v>
                </c:pt>
                <c:pt idx="43">
                  <c:v>2</c:v>
                </c:pt>
                <c:pt idx="46">
                  <c:v>2</c:v>
                </c:pt>
                <c:pt idx="47">
                  <c:v>2</c:v>
                </c:pt>
                <c:pt idx="48">
                  <c:v>1</c:v>
                </c:pt>
                <c:pt idx="49">
                  <c:v>2</c:v>
                </c:pt>
                <c:pt idx="51">
                  <c:v>2</c:v>
                </c:pt>
                <c:pt idx="54">
                  <c:v>1</c:v>
                </c:pt>
              </c:numCache>
            </c:numRef>
          </c:val>
        </c:ser>
        <c:ser>
          <c:idx val="1"/>
          <c:order val="1"/>
          <c:tx>
            <c:strRef>
              <c:f>Histograms!$AQ$2:$AQ$3</c:f>
              <c:strCache>
                <c:ptCount val="1"/>
                <c:pt idx="0">
                  <c:v>Animal</c:v>
                </c:pt>
              </c:strCache>
            </c:strRef>
          </c:tx>
          <c:invertIfNegative val="0"/>
          <c:cat>
            <c:strRef>
              <c:f>Histograms!$AO$4:$AO$59</c:f>
              <c:strCache>
                <c:ptCount val="55"/>
                <c:pt idx="0">
                  <c:v>0.37-0.47</c:v>
                </c:pt>
                <c:pt idx="1">
                  <c:v>0.47-0.57</c:v>
                </c:pt>
                <c:pt idx="2">
                  <c:v>0.57-0.67</c:v>
                </c:pt>
                <c:pt idx="3">
                  <c:v>0.67-0.77</c:v>
                </c:pt>
                <c:pt idx="4">
                  <c:v>0.77-0.87</c:v>
                </c:pt>
                <c:pt idx="5">
                  <c:v>0.87-0.97</c:v>
                </c:pt>
                <c:pt idx="6">
                  <c:v>0.97-1.07</c:v>
                </c:pt>
                <c:pt idx="7">
                  <c:v>1.07-1.17</c:v>
                </c:pt>
                <c:pt idx="8">
                  <c:v>1.17-1.27</c:v>
                </c:pt>
                <c:pt idx="9">
                  <c:v>1.27-1.37</c:v>
                </c:pt>
                <c:pt idx="10">
                  <c:v>1.37-1.47</c:v>
                </c:pt>
                <c:pt idx="11">
                  <c:v>1.47-1.57</c:v>
                </c:pt>
                <c:pt idx="12">
                  <c:v>1.67-1.77</c:v>
                </c:pt>
                <c:pt idx="13">
                  <c:v>1.77-1.87</c:v>
                </c:pt>
                <c:pt idx="14">
                  <c:v>1.87-1.97</c:v>
                </c:pt>
                <c:pt idx="15">
                  <c:v>1.97-2.07</c:v>
                </c:pt>
                <c:pt idx="16">
                  <c:v>2.07-2.17</c:v>
                </c:pt>
                <c:pt idx="17">
                  <c:v>2.17-2.27</c:v>
                </c:pt>
                <c:pt idx="18">
                  <c:v>2.27-2.37</c:v>
                </c:pt>
                <c:pt idx="19">
                  <c:v>2.37-2.47</c:v>
                </c:pt>
                <c:pt idx="20">
                  <c:v>2.47-2.57</c:v>
                </c:pt>
                <c:pt idx="21">
                  <c:v>2.57-2.67</c:v>
                </c:pt>
                <c:pt idx="22">
                  <c:v>2.67-2.77</c:v>
                </c:pt>
                <c:pt idx="23">
                  <c:v>2.77-2.87</c:v>
                </c:pt>
                <c:pt idx="24">
                  <c:v>2.87-2.97</c:v>
                </c:pt>
                <c:pt idx="25">
                  <c:v>2.97-3.07</c:v>
                </c:pt>
                <c:pt idx="26">
                  <c:v>3.07-3.17</c:v>
                </c:pt>
                <c:pt idx="27">
                  <c:v>3.17-3.27</c:v>
                </c:pt>
                <c:pt idx="28">
                  <c:v>3.37-3.47</c:v>
                </c:pt>
                <c:pt idx="29">
                  <c:v>3.47-3.57</c:v>
                </c:pt>
                <c:pt idx="30">
                  <c:v>3.57-3.67</c:v>
                </c:pt>
                <c:pt idx="31">
                  <c:v>3.67-3.77</c:v>
                </c:pt>
                <c:pt idx="32">
                  <c:v>3.77-3.87</c:v>
                </c:pt>
                <c:pt idx="33">
                  <c:v>3.87-3.97</c:v>
                </c:pt>
                <c:pt idx="34">
                  <c:v>3.97-4.07</c:v>
                </c:pt>
                <c:pt idx="35">
                  <c:v>4.07-4.17</c:v>
                </c:pt>
                <c:pt idx="36">
                  <c:v>4.17-4.27</c:v>
                </c:pt>
                <c:pt idx="37">
                  <c:v>4.27-4.37</c:v>
                </c:pt>
                <c:pt idx="38">
                  <c:v>4.37-4.47</c:v>
                </c:pt>
                <c:pt idx="39">
                  <c:v>4.47-4.57</c:v>
                </c:pt>
                <c:pt idx="40">
                  <c:v>4.57-4.67</c:v>
                </c:pt>
                <c:pt idx="41">
                  <c:v>4.67-4.77</c:v>
                </c:pt>
                <c:pt idx="42">
                  <c:v>4.77-4.87</c:v>
                </c:pt>
                <c:pt idx="43">
                  <c:v>4.87-4.97</c:v>
                </c:pt>
                <c:pt idx="44">
                  <c:v>4.97-5.07</c:v>
                </c:pt>
                <c:pt idx="45">
                  <c:v>5.07-5.17</c:v>
                </c:pt>
                <c:pt idx="46">
                  <c:v>5.27-5.37</c:v>
                </c:pt>
                <c:pt idx="47">
                  <c:v>5.37-5.47</c:v>
                </c:pt>
                <c:pt idx="48">
                  <c:v>5.47-5.57</c:v>
                </c:pt>
                <c:pt idx="49">
                  <c:v>5.57-5.67</c:v>
                </c:pt>
                <c:pt idx="50">
                  <c:v>5.67-5.77</c:v>
                </c:pt>
                <c:pt idx="51">
                  <c:v>5.77-5.87</c:v>
                </c:pt>
                <c:pt idx="52">
                  <c:v>5.87-5.97</c:v>
                </c:pt>
                <c:pt idx="53">
                  <c:v>5.97-6.07</c:v>
                </c:pt>
                <c:pt idx="54">
                  <c:v>6.07-6.17</c:v>
                </c:pt>
              </c:strCache>
            </c:strRef>
          </c:cat>
          <c:val>
            <c:numRef>
              <c:f>Histograms!$AQ$4:$AQ$59</c:f>
              <c:numCache>
                <c:formatCode>General</c:formatCode>
                <c:ptCount val="55"/>
                <c:pt idx="0">
                  <c:v>1</c:v>
                </c:pt>
                <c:pt idx="1">
                  <c:v>3</c:v>
                </c:pt>
                <c:pt idx="2">
                  <c:v>1</c:v>
                </c:pt>
                <c:pt idx="3">
                  <c:v>1</c:v>
                </c:pt>
                <c:pt idx="7">
                  <c:v>4</c:v>
                </c:pt>
                <c:pt idx="8">
                  <c:v>1</c:v>
                </c:pt>
                <c:pt idx="9">
                  <c:v>1</c:v>
                </c:pt>
                <c:pt idx="10">
                  <c:v>2</c:v>
                </c:pt>
                <c:pt idx="11">
                  <c:v>3</c:v>
                </c:pt>
                <c:pt idx="12">
                  <c:v>1</c:v>
                </c:pt>
                <c:pt idx="13">
                  <c:v>2</c:v>
                </c:pt>
                <c:pt idx="14">
                  <c:v>3</c:v>
                </c:pt>
                <c:pt idx="15">
                  <c:v>1</c:v>
                </c:pt>
                <c:pt idx="19">
                  <c:v>2</c:v>
                </c:pt>
                <c:pt idx="21">
                  <c:v>1</c:v>
                </c:pt>
                <c:pt idx="22">
                  <c:v>4</c:v>
                </c:pt>
                <c:pt idx="23">
                  <c:v>1</c:v>
                </c:pt>
                <c:pt idx="31">
                  <c:v>2</c:v>
                </c:pt>
                <c:pt idx="40">
                  <c:v>1</c:v>
                </c:pt>
                <c:pt idx="42">
                  <c:v>1</c:v>
                </c:pt>
              </c:numCache>
            </c:numRef>
          </c:val>
        </c:ser>
        <c:ser>
          <c:idx val="2"/>
          <c:order val="2"/>
          <c:tx>
            <c:strRef>
              <c:f>Histograms!$AR$2:$AR$3</c:f>
              <c:strCache>
                <c:ptCount val="1"/>
                <c:pt idx="0">
                  <c:v>Parked Vehicle</c:v>
                </c:pt>
              </c:strCache>
            </c:strRef>
          </c:tx>
          <c:invertIfNegative val="0"/>
          <c:cat>
            <c:strRef>
              <c:f>Histograms!$AO$4:$AO$59</c:f>
              <c:strCache>
                <c:ptCount val="55"/>
                <c:pt idx="0">
                  <c:v>0.37-0.47</c:v>
                </c:pt>
                <c:pt idx="1">
                  <c:v>0.47-0.57</c:v>
                </c:pt>
                <c:pt idx="2">
                  <c:v>0.57-0.67</c:v>
                </c:pt>
                <c:pt idx="3">
                  <c:v>0.67-0.77</c:v>
                </c:pt>
                <c:pt idx="4">
                  <c:v>0.77-0.87</c:v>
                </c:pt>
                <c:pt idx="5">
                  <c:v>0.87-0.97</c:v>
                </c:pt>
                <c:pt idx="6">
                  <c:v>0.97-1.07</c:v>
                </c:pt>
                <c:pt idx="7">
                  <c:v>1.07-1.17</c:v>
                </c:pt>
                <c:pt idx="8">
                  <c:v>1.17-1.27</c:v>
                </c:pt>
                <c:pt idx="9">
                  <c:v>1.27-1.37</c:v>
                </c:pt>
                <c:pt idx="10">
                  <c:v>1.37-1.47</c:v>
                </c:pt>
                <c:pt idx="11">
                  <c:v>1.47-1.57</c:v>
                </c:pt>
                <c:pt idx="12">
                  <c:v>1.67-1.77</c:v>
                </c:pt>
                <c:pt idx="13">
                  <c:v>1.77-1.87</c:v>
                </c:pt>
                <c:pt idx="14">
                  <c:v>1.87-1.97</c:v>
                </c:pt>
                <c:pt idx="15">
                  <c:v>1.97-2.07</c:v>
                </c:pt>
                <c:pt idx="16">
                  <c:v>2.07-2.17</c:v>
                </c:pt>
                <c:pt idx="17">
                  <c:v>2.17-2.27</c:v>
                </c:pt>
                <c:pt idx="18">
                  <c:v>2.27-2.37</c:v>
                </c:pt>
                <c:pt idx="19">
                  <c:v>2.37-2.47</c:v>
                </c:pt>
                <c:pt idx="20">
                  <c:v>2.47-2.57</c:v>
                </c:pt>
                <c:pt idx="21">
                  <c:v>2.57-2.67</c:v>
                </c:pt>
                <c:pt idx="22">
                  <c:v>2.67-2.77</c:v>
                </c:pt>
                <c:pt idx="23">
                  <c:v>2.77-2.87</c:v>
                </c:pt>
                <c:pt idx="24">
                  <c:v>2.87-2.97</c:v>
                </c:pt>
                <c:pt idx="25">
                  <c:v>2.97-3.07</c:v>
                </c:pt>
                <c:pt idx="26">
                  <c:v>3.07-3.17</c:v>
                </c:pt>
                <c:pt idx="27">
                  <c:v>3.17-3.27</c:v>
                </c:pt>
                <c:pt idx="28">
                  <c:v>3.37-3.47</c:v>
                </c:pt>
                <c:pt idx="29">
                  <c:v>3.47-3.57</c:v>
                </c:pt>
                <c:pt idx="30">
                  <c:v>3.57-3.67</c:v>
                </c:pt>
                <c:pt idx="31">
                  <c:v>3.67-3.77</c:v>
                </c:pt>
                <c:pt idx="32">
                  <c:v>3.77-3.87</c:v>
                </c:pt>
                <c:pt idx="33">
                  <c:v>3.87-3.97</c:v>
                </c:pt>
                <c:pt idx="34">
                  <c:v>3.97-4.07</c:v>
                </c:pt>
                <c:pt idx="35">
                  <c:v>4.07-4.17</c:v>
                </c:pt>
                <c:pt idx="36">
                  <c:v>4.17-4.27</c:v>
                </c:pt>
                <c:pt idx="37">
                  <c:v>4.27-4.37</c:v>
                </c:pt>
                <c:pt idx="38">
                  <c:v>4.37-4.47</c:v>
                </c:pt>
                <c:pt idx="39">
                  <c:v>4.47-4.57</c:v>
                </c:pt>
                <c:pt idx="40">
                  <c:v>4.57-4.67</c:v>
                </c:pt>
                <c:pt idx="41">
                  <c:v>4.67-4.77</c:v>
                </c:pt>
                <c:pt idx="42">
                  <c:v>4.77-4.87</c:v>
                </c:pt>
                <c:pt idx="43">
                  <c:v>4.87-4.97</c:v>
                </c:pt>
                <c:pt idx="44">
                  <c:v>4.97-5.07</c:v>
                </c:pt>
                <c:pt idx="45">
                  <c:v>5.07-5.17</c:v>
                </c:pt>
                <c:pt idx="46">
                  <c:v>5.27-5.37</c:v>
                </c:pt>
                <c:pt idx="47">
                  <c:v>5.37-5.47</c:v>
                </c:pt>
                <c:pt idx="48">
                  <c:v>5.47-5.57</c:v>
                </c:pt>
                <c:pt idx="49">
                  <c:v>5.57-5.67</c:v>
                </c:pt>
                <c:pt idx="50">
                  <c:v>5.67-5.77</c:v>
                </c:pt>
                <c:pt idx="51">
                  <c:v>5.77-5.87</c:v>
                </c:pt>
                <c:pt idx="52">
                  <c:v>5.87-5.97</c:v>
                </c:pt>
                <c:pt idx="53">
                  <c:v>5.97-6.07</c:v>
                </c:pt>
                <c:pt idx="54">
                  <c:v>6.07-6.17</c:v>
                </c:pt>
              </c:strCache>
            </c:strRef>
          </c:cat>
          <c:val>
            <c:numRef>
              <c:f>Histograms!$AR$4:$AR$59</c:f>
              <c:numCache>
                <c:formatCode>General</c:formatCode>
                <c:ptCount val="55"/>
                <c:pt idx="28">
                  <c:v>1</c:v>
                </c:pt>
                <c:pt idx="44">
                  <c:v>1</c:v>
                </c:pt>
                <c:pt idx="47">
                  <c:v>4</c:v>
                </c:pt>
                <c:pt idx="48">
                  <c:v>4</c:v>
                </c:pt>
                <c:pt idx="49">
                  <c:v>4</c:v>
                </c:pt>
                <c:pt idx="51">
                  <c:v>1</c:v>
                </c:pt>
                <c:pt idx="52">
                  <c:v>9</c:v>
                </c:pt>
                <c:pt idx="53">
                  <c:v>2</c:v>
                </c:pt>
                <c:pt idx="54">
                  <c:v>9</c:v>
                </c:pt>
              </c:numCache>
            </c:numRef>
          </c:val>
        </c:ser>
        <c:ser>
          <c:idx val="3"/>
          <c:order val="3"/>
          <c:tx>
            <c:strRef>
              <c:f>Histograms!$AS$2:$AS$3</c:f>
              <c:strCache>
                <c:ptCount val="1"/>
                <c:pt idx="0">
                  <c:v>Rear End</c:v>
                </c:pt>
              </c:strCache>
            </c:strRef>
          </c:tx>
          <c:invertIfNegative val="0"/>
          <c:cat>
            <c:strRef>
              <c:f>Histograms!$AO$4:$AO$59</c:f>
              <c:strCache>
                <c:ptCount val="55"/>
                <c:pt idx="0">
                  <c:v>0.37-0.47</c:v>
                </c:pt>
                <c:pt idx="1">
                  <c:v>0.47-0.57</c:v>
                </c:pt>
                <c:pt idx="2">
                  <c:v>0.57-0.67</c:v>
                </c:pt>
                <c:pt idx="3">
                  <c:v>0.67-0.77</c:v>
                </c:pt>
                <c:pt idx="4">
                  <c:v>0.77-0.87</c:v>
                </c:pt>
                <c:pt idx="5">
                  <c:v>0.87-0.97</c:v>
                </c:pt>
                <c:pt idx="6">
                  <c:v>0.97-1.07</c:v>
                </c:pt>
                <c:pt idx="7">
                  <c:v>1.07-1.17</c:v>
                </c:pt>
                <c:pt idx="8">
                  <c:v>1.17-1.27</c:v>
                </c:pt>
                <c:pt idx="9">
                  <c:v>1.27-1.37</c:v>
                </c:pt>
                <c:pt idx="10">
                  <c:v>1.37-1.47</c:v>
                </c:pt>
                <c:pt idx="11">
                  <c:v>1.47-1.57</c:v>
                </c:pt>
                <c:pt idx="12">
                  <c:v>1.67-1.77</c:v>
                </c:pt>
                <c:pt idx="13">
                  <c:v>1.77-1.87</c:v>
                </c:pt>
                <c:pt idx="14">
                  <c:v>1.87-1.97</c:v>
                </c:pt>
                <c:pt idx="15">
                  <c:v>1.97-2.07</c:v>
                </c:pt>
                <c:pt idx="16">
                  <c:v>2.07-2.17</c:v>
                </c:pt>
                <c:pt idx="17">
                  <c:v>2.17-2.27</c:v>
                </c:pt>
                <c:pt idx="18">
                  <c:v>2.27-2.37</c:v>
                </c:pt>
                <c:pt idx="19">
                  <c:v>2.37-2.47</c:v>
                </c:pt>
                <c:pt idx="20">
                  <c:v>2.47-2.57</c:v>
                </c:pt>
                <c:pt idx="21">
                  <c:v>2.57-2.67</c:v>
                </c:pt>
                <c:pt idx="22">
                  <c:v>2.67-2.77</c:v>
                </c:pt>
                <c:pt idx="23">
                  <c:v>2.77-2.87</c:v>
                </c:pt>
                <c:pt idx="24">
                  <c:v>2.87-2.97</c:v>
                </c:pt>
                <c:pt idx="25">
                  <c:v>2.97-3.07</c:v>
                </c:pt>
                <c:pt idx="26">
                  <c:v>3.07-3.17</c:v>
                </c:pt>
                <c:pt idx="27">
                  <c:v>3.17-3.27</c:v>
                </c:pt>
                <c:pt idx="28">
                  <c:v>3.37-3.47</c:v>
                </c:pt>
                <c:pt idx="29">
                  <c:v>3.47-3.57</c:v>
                </c:pt>
                <c:pt idx="30">
                  <c:v>3.57-3.67</c:v>
                </c:pt>
                <c:pt idx="31">
                  <c:v>3.67-3.77</c:v>
                </c:pt>
                <c:pt idx="32">
                  <c:v>3.77-3.87</c:v>
                </c:pt>
                <c:pt idx="33">
                  <c:v>3.87-3.97</c:v>
                </c:pt>
                <c:pt idx="34">
                  <c:v>3.97-4.07</c:v>
                </c:pt>
                <c:pt idx="35">
                  <c:v>4.07-4.17</c:v>
                </c:pt>
                <c:pt idx="36">
                  <c:v>4.17-4.27</c:v>
                </c:pt>
                <c:pt idx="37">
                  <c:v>4.27-4.37</c:v>
                </c:pt>
                <c:pt idx="38">
                  <c:v>4.37-4.47</c:v>
                </c:pt>
                <c:pt idx="39">
                  <c:v>4.47-4.57</c:v>
                </c:pt>
                <c:pt idx="40">
                  <c:v>4.57-4.67</c:v>
                </c:pt>
                <c:pt idx="41">
                  <c:v>4.67-4.77</c:v>
                </c:pt>
                <c:pt idx="42">
                  <c:v>4.77-4.87</c:v>
                </c:pt>
                <c:pt idx="43">
                  <c:v>4.87-4.97</c:v>
                </c:pt>
                <c:pt idx="44">
                  <c:v>4.97-5.07</c:v>
                </c:pt>
                <c:pt idx="45">
                  <c:v>5.07-5.17</c:v>
                </c:pt>
                <c:pt idx="46">
                  <c:v>5.27-5.37</c:v>
                </c:pt>
                <c:pt idx="47">
                  <c:v>5.37-5.47</c:v>
                </c:pt>
                <c:pt idx="48">
                  <c:v>5.47-5.57</c:v>
                </c:pt>
                <c:pt idx="49">
                  <c:v>5.57-5.67</c:v>
                </c:pt>
                <c:pt idx="50">
                  <c:v>5.67-5.77</c:v>
                </c:pt>
                <c:pt idx="51">
                  <c:v>5.77-5.87</c:v>
                </c:pt>
                <c:pt idx="52">
                  <c:v>5.87-5.97</c:v>
                </c:pt>
                <c:pt idx="53">
                  <c:v>5.97-6.07</c:v>
                </c:pt>
                <c:pt idx="54">
                  <c:v>6.07-6.17</c:v>
                </c:pt>
              </c:strCache>
            </c:strRef>
          </c:cat>
          <c:val>
            <c:numRef>
              <c:f>Histograms!$AS$4:$AS$59</c:f>
              <c:numCache>
                <c:formatCode>General</c:formatCode>
                <c:ptCount val="55"/>
                <c:pt idx="18">
                  <c:v>1</c:v>
                </c:pt>
                <c:pt idx="20">
                  <c:v>3</c:v>
                </c:pt>
                <c:pt idx="32">
                  <c:v>1</c:v>
                </c:pt>
                <c:pt idx="33">
                  <c:v>3</c:v>
                </c:pt>
                <c:pt idx="36">
                  <c:v>1</c:v>
                </c:pt>
                <c:pt idx="39">
                  <c:v>1</c:v>
                </c:pt>
                <c:pt idx="40">
                  <c:v>2</c:v>
                </c:pt>
                <c:pt idx="41">
                  <c:v>1</c:v>
                </c:pt>
                <c:pt idx="42">
                  <c:v>2</c:v>
                </c:pt>
                <c:pt idx="43">
                  <c:v>1</c:v>
                </c:pt>
                <c:pt idx="44">
                  <c:v>1</c:v>
                </c:pt>
                <c:pt idx="45">
                  <c:v>1</c:v>
                </c:pt>
                <c:pt idx="49">
                  <c:v>4</c:v>
                </c:pt>
                <c:pt idx="50">
                  <c:v>4</c:v>
                </c:pt>
                <c:pt idx="51">
                  <c:v>4</c:v>
                </c:pt>
                <c:pt idx="52">
                  <c:v>1</c:v>
                </c:pt>
                <c:pt idx="53">
                  <c:v>1</c:v>
                </c:pt>
                <c:pt idx="54">
                  <c:v>3</c:v>
                </c:pt>
              </c:numCache>
            </c:numRef>
          </c:val>
        </c:ser>
        <c:ser>
          <c:idx val="4"/>
          <c:order val="4"/>
          <c:tx>
            <c:strRef>
              <c:f>Histograms!$AT$2:$AT$3</c:f>
              <c:strCache>
                <c:ptCount val="1"/>
                <c:pt idx="0">
                  <c:v>Angle</c:v>
                </c:pt>
              </c:strCache>
            </c:strRef>
          </c:tx>
          <c:invertIfNegative val="0"/>
          <c:cat>
            <c:strRef>
              <c:f>Histograms!$AO$4:$AO$59</c:f>
              <c:strCache>
                <c:ptCount val="55"/>
                <c:pt idx="0">
                  <c:v>0.37-0.47</c:v>
                </c:pt>
                <c:pt idx="1">
                  <c:v>0.47-0.57</c:v>
                </c:pt>
                <c:pt idx="2">
                  <c:v>0.57-0.67</c:v>
                </c:pt>
                <c:pt idx="3">
                  <c:v>0.67-0.77</c:v>
                </c:pt>
                <c:pt idx="4">
                  <c:v>0.77-0.87</c:v>
                </c:pt>
                <c:pt idx="5">
                  <c:v>0.87-0.97</c:v>
                </c:pt>
                <c:pt idx="6">
                  <c:v>0.97-1.07</c:v>
                </c:pt>
                <c:pt idx="7">
                  <c:v>1.07-1.17</c:v>
                </c:pt>
                <c:pt idx="8">
                  <c:v>1.17-1.27</c:v>
                </c:pt>
                <c:pt idx="9">
                  <c:v>1.27-1.37</c:v>
                </c:pt>
                <c:pt idx="10">
                  <c:v>1.37-1.47</c:v>
                </c:pt>
                <c:pt idx="11">
                  <c:v>1.47-1.57</c:v>
                </c:pt>
                <c:pt idx="12">
                  <c:v>1.67-1.77</c:v>
                </c:pt>
                <c:pt idx="13">
                  <c:v>1.77-1.87</c:v>
                </c:pt>
                <c:pt idx="14">
                  <c:v>1.87-1.97</c:v>
                </c:pt>
                <c:pt idx="15">
                  <c:v>1.97-2.07</c:v>
                </c:pt>
                <c:pt idx="16">
                  <c:v>2.07-2.17</c:v>
                </c:pt>
                <c:pt idx="17">
                  <c:v>2.17-2.27</c:v>
                </c:pt>
                <c:pt idx="18">
                  <c:v>2.27-2.37</c:v>
                </c:pt>
                <c:pt idx="19">
                  <c:v>2.37-2.47</c:v>
                </c:pt>
                <c:pt idx="20">
                  <c:v>2.47-2.57</c:v>
                </c:pt>
                <c:pt idx="21">
                  <c:v>2.57-2.67</c:v>
                </c:pt>
                <c:pt idx="22">
                  <c:v>2.67-2.77</c:v>
                </c:pt>
                <c:pt idx="23">
                  <c:v>2.77-2.87</c:v>
                </c:pt>
                <c:pt idx="24">
                  <c:v>2.87-2.97</c:v>
                </c:pt>
                <c:pt idx="25">
                  <c:v>2.97-3.07</c:v>
                </c:pt>
                <c:pt idx="26">
                  <c:v>3.07-3.17</c:v>
                </c:pt>
                <c:pt idx="27">
                  <c:v>3.17-3.27</c:v>
                </c:pt>
                <c:pt idx="28">
                  <c:v>3.37-3.47</c:v>
                </c:pt>
                <c:pt idx="29">
                  <c:v>3.47-3.57</c:v>
                </c:pt>
                <c:pt idx="30">
                  <c:v>3.57-3.67</c:v>
                </c:pt>
                <c:pt idx="31">
                  <c:v>3.67-3.77</c:v>
                </c:pt>
                <c:pt idx="32">
                  <c:v>3.77-3.87</c:v>
                </c:pt>
                <c:pt idx="33">
                  <c:v>3.87-3.97</c:v>
                </c:pt>
                <c:pt idx="34">
                  <c:v>3.97-4.07</c:v>
                </c:pt>
                <c:pt idx="35">
                  <c:v>4.07-4.17</c:v>
                </c:pt>
                <c:pt idx="36">
                  <c:v>4.17-4.27</c:v>
                </c:pt>
                <c:pt idx="37">
                  <c:v>4.27-4.37</c:v>
                </c:pt>
                <c:pt idx="38">
                  <c:v>4.37-4.47</c:v>
                </c:pt>
                <c:pt idx="39">
                  <c:v>4.47-4.57</c:v>
                </c:pt>
                <c:pt idx="40">
                  <c:v>4.57-4.67</c:v>
                </c:pt>
                <c:pt idx="41">
                  <c:v>4.67-4.77</c:v>
                </c:pt>
                <c:pt idx="42">
                  <c:v>4.77-4.87</c:v>
                </c:pt>
                <c:pt idx="43">
                  <c:v>4.87-4.97</c:v>
                </c:pt>
                <c:pt idx="44">
                  <c:v>4.97-5.07</c:v>
                </c:pt>
                <c:pt idx="45">
                  <c:v>5.07-5.17</c:v>
                </c:pt>
                <c:pt idx="46">
                  <c:v>5.27-5.37</c:v>
                </c:pt>
                <c:pt idx="47">
                  <c:v>5.37-5.47</c:v>
                </c:pt>
                <c:pt idx="48">
                  <c:v>5.47-5.57</c:v>
                </c:pt>
                <c:pt idx="49">
                  <c:v>5.57-5.67</c:v>
                </c:pt>
                <c:pt idx="50">
                  <c:v>5.67-5.77</c:v>
                </c:pt>
                <c:pt idx="51">
                  <c:v>5.77-5.87</c:v>
                </c:pt>
                <c:pt idx="52">
                  <c:v>5.87-5.97</c:v>
                </c:pt>
                <c:pt idx="53">
                  <c:v>5.97-6.07</c:v>
                </c:pt>
                <c:pt idx="54">
                  <c:v>6.07-6.17</c:v>
                </c:pt>
              </c:strCache>
            </c:strRef>
          </c:cat>
          <c:val>
            <c:numRef>
              <c:f>Histograms!$AT$4:$AT$59</c:f>
              <c:numCache>
                <c:formatCode>General</c:formatCode>
                <c:ptCount val="55"/>
                <c:pt idx="16">
                  <c:v>1</c:v>
                </c:pt>
                <c:pt idx="21">
                  <c:v>2</c:v>
                </c:pt>
                <c:pt idx="32">
                  <c:v>1</c:v>
                </c:pt>
                <c:pt idx="33">
                  <c:v>4</c:v>
                </c:pt>
                <c:pt idx="34">
                  <c:v>3</c:v>
                </c:pt>
                <c:pt idx="36">
                  <c:v>2</c:v>
                </c:pt>
                <c:pt idx="37">
                  <c:v>1</c:v>
                </c:pt>
                <c:pt idx="39">
                  <c:v>1</c:v>
                </c:pt>
                <c:pt idx="40">
                  <c:v>2</c:v>
                </c:pt>
                <c:pt idx="42">
                  <c:v>1</c:v>
                </c:pt>
                <c:pt idx="47">
                  <c:v>1</c:v>
                </c:pt>
                <c:pt idx="49">
                  <c:v>1</c:v>
                </c:pt>
                <c:pt idx="51">
                  <c:v>1</c:v>
                </c:pt>
                <c:pt idx="52">
                  <c:v>5</c:v>
                </c:pt>
                <c:pt idx="53">
                  <c:v>3</c:v>
                </c:pt>
                <c:pt idx="54">
                  <c:v>2</c:v>
                </c:pt>
              </c:numCache>
            </c:numRef>
          </c:val>
        </c:ser>
        <c:ser>
          <c:idx val="5"/>
          <c:order val="5"/>
          <c:tx>
            <c:strRef>
              <c:f>Histograms!$AU$2:$AU$3</c:f>
              <c:strCache>
                <c:ptCount val="1"/>
                <c:pt idx="0">
                  <c:v>Backing</c:v>
                </c:pt>
              </c:strCache>
            </c:strRef>
          </c:tx>
          <c:invertIfNegative val="0"/>
          <c:cat>
            <c:strRef>
              <c:f>Histograms!$AO$4:$AO$59</c:f>
              <c:strCache>
                <c:ptCount val="55"/>
                <c:pt idx="0">
                  <c:v>0.37-0.47</c:v>
                </c:pt>
                <c:pt idx="1">
                  <c:v>0.47-0.57</c:v>
                </c:pt>
                <c:pt idx="2">
                  <c:v>0.57-0.67</c:v>
                </c:pt>
                <c:pt idx="3">
                  <c:v>0.67-0.77</c:v>
                </c:pt>
                <c:pt idx="4">
                  <c:v>0.77-0.87</c:v>
                </c:pt>
                <c:pt idx="5">
                  <c:v>0.87-0.97</c:v>
                </c:pt>
                <c:pt idx="6">
                  <c:v>0.97-1.07</c:v>
                </c:pt>
                <c:pt idx="7">
                  <c:v>1.07-1.17</c:v>
                </c:pt>
                <c:pt idx="8">
                  <c:v>1.17-1.27</c:v>
                </c:pt>
                <c:pt idx="9">
                  <c:v>1.27-1.37</c:v>
                </c:pt>
                <c:pt idx="10">
                  <c:v>1.37-1.47</c:v>
                </c:pt>
                <c:pt idx="11">
                  <c:v>1.47-1.57</c:v>
                </c:pt>
                <c:pt idx="12">
                  <c:v>1.67-1.77</c:v>
                </c:pt>
                <c:pt idx="13">
                  <c:v>1.77-1.87</c:v>
                </c:pt>
                <c:pt idx="14">
                  <c:v>1.87-1.97</c:v>
                </c:pt>
                <c:pt idx="15">
                  <c:v>1.97-2.07</c:v>
                </c:pt>
                <c:pt idx="16">
                  <c:v>2.07-2.17</c:v>
                </c:pt>
                <c:pt idx="17">
                  <c:v>2.17-2.27</c:v>
                </c:pt>
                <c:pt idx="18">
                  <c:v>2.27-2.37</c:v>
                </c:pt>
                <c:pt idx="19">
                  <c:v>2.37-2.47</c:v>
                </c:pt>
                <c:pt idx="20">
                  <c:v>2.47-2.57</c:v>
                </c:pt>
                <c:pt idx="21">
                  <c:v>2.57-2.67</c:v>
                </c:pt>
                <c:pt idx="22">
                  <c:v>2.67-2.77</c:v>
                </c:pt>
                <c:pt idx="23">
                  <c:v>2.77-2.87</c:v>
                </c:pt>
                <c:pt idx="24">
                  <c:v>2.87-2.97</c:v>
                </c:pt>
                <c:pt idx="25">
                  <c:v>2.97-3.07</c:v>
                </c:pt>
                <c:pt idx="26">
                  <c:v>3.07-3.17</c:v>
                </c:pt>
                <c:pt idx="27">
                  <c:v>3.17-3.27</c:v>
                </c:pt>
                <c:pt idx="28">
                  <c:v>3.37-3.47</c:v>
                </c:pt>
                <c:pt idx="29">
                  <c:v>3.47-3.57</c:v>
                </c:pt>
                <c:pt idx="30">
                  <c:v>3.57-3.67</c:v>
                </c:pt>
                <c:pt idx="31">
                  <c:v>3.67-3.77</c:v>
                </c:pt>
                <c:pt idx="32">
                  <c:v>3.77-3.87</c:v>
                </c:pt>
                <c:pt idx="33">
                  <c:v>3.87-3.97</c:v>
                </c:pt>
                <c:pt idx="34">
                  <c:v>3.97-4.07</c:v>
                </c:pt>
                <c:pt idx="35">
                  <c:v>4.07-4.17</c:v>
                </c:pt>
                <c:pt idx="36">
                  <c:v>4.17-4.27</c:v>
                </c:pt>
                <c:pt idx="37">
                  <c:v>4.27-4.37</c:v>
                </c:pt>
                <c:pt idx="38">
                  <c:v>4.37-4.47</c:v>
                </c:pt>
                <c:pt idx="39">
                  <c:v>4.47-4.57</c:v>
                </c:pt>
                <c:pt idx="40">
                  <c:v>4.57-4.67</c:v>
                </c:pt>
                <c:pt idx="41">
                  <c:v>4.67-4.77</c:v>
                </c:pt>
                <c:pt idx="42">
                  <c:v>4.77-4.87</c:v>
                </c:pt>
                <c:pt idx="43">
                  <c:v>4.87-4.97</c:v>
                </c:pt>
                <c:pt idx="44">
                  <c:v>4.97-5.07</c:v>
                </c:pt>
                <c:pt idx="45">
                  <c:v>5.07-5.17</c:v>
                </c:pt>
                <c:pt idx="46">
                  <c:v>5.27-5.37</c:v>
                </c:pt>
                <c:pt idx="47">
                  <c:v>5.37-5.47</c:v>
                </c:pt>
                <c:pt idx="48">
                  <c:v>5.47-5.57</c:v>
                </c:pt>
                <c:pt idx="49">
                  <c:v>5.57-5.67</c:v>
                </c:pt>
                <c:pt idx="50">
                  <c:v>5.67-5.77</c:v>
                </c:pt>
                <c:pt idx="51">
                  <c:v>5.77-5.87</c:v>
                </c:pt>
                <c:pt idx="52">
                  <c:v>5.87-5.97</c:v>
                </c:pt>
                <c:pt idx="53">
                  <c:v>5.97-6.07</c:v>
                </c:pt>
                <c:pt idx="54">
                  <c:v>6.07-6.17</c:v>
                </c:pt>
              </c:strCache>
            </c:strRef>
          </c:cat>
          <c:val>
            <c:numRef>
              <c:f>Histograms!$AU$4:$AU$59</c:f>
              <c:numCache>
                <c:formatCode>General</c:formatCode>
                <c:ptCount val="55"/>
                <c:pt idx="32">
                  <c:v>1</c:v>
                </c:pt>
                <c:pt idx="37">
                  <c:v>1</c:v>
                </c:pt>
                <c:pt idx="48">
                  <c:v>1</c:v>
                </c:pt>
                <c:pt idx="52">
                  <c:v>4</c:v>
                </c:pt>
                <c:pt idx="53">
                  <c:v>2</c:v>
                </c:pt>
              </c:numCache>
            </c:numRef>
          </c:val>
        </c:ser>
        <c:ser>
          <c:idx val="6"/>
          <c:order val="6"/>
          <c:tx>
            <c:strRef>
              <c:f>Histograms!$AV$2:$AV$3</c:f>
              <c:strCache>
                <c:ptCount val="1"/>
                <c:pt idx="0">
                  <c:v>Pedalcycles</c:v>
                </c:pt>
              </c:strCache>
            </c:strRef>
          </c:tx>
          <c:invertIfNegative val="0"/>
          <c:cat>
            <c:strRef>
              <c:f>Histograms!$AO$4:$AO$59</c:f>
              <c:strCache>
                <c:ptCount val="55"/>
                <c:pt idx="0">
                  <c:v>0.37-0.47</c:v>
                </c:pt>
                <c:pt idx="1">
                  <c:v>0.47-0.57</c:v>
                </c:pt>
                <c:pt idx="2">
                  <c:v>0.57-0.67</c:v>
                </c:pt>
                <c:pt idx="3">
                  <c:v>0.67-0.77</c:v>
                </c:pt>
                <c:pt idx="4">
                  <c:v>0.77-0.87</c:v>
                </c:pt>
                <c:pt idx="5">
                  <c:v>0.87-0.97</c:v>
                </c:pt>
                <c:pt idx="6">
                  <c:v>0.97-1.07</c:v>
                </c:pt>
                <c:pt idx="7">
                  <c:v>1.07-1.17</c:v>
                </c:pt>
                <c:pt idx="8">
                  <c:v>1.17-1.27</c:v>
                </c:pt>
                <c:pt idx="9">
                  <c:v>1.27-1.37</c:v>
                </c:pt>
                <c:pt idx="10">
                  <c:v>1.37-1.47</c:v>
                </c:pt>
                <c:pt idx="11">
                  <c:v>1.47-1.57</c:v>
                </c:pt>
                <c:pt idx="12">
                  <c:v>1.67-1.77</c:v>
                </c:pt>
                <c:pt idx="13">
                  <c:v>1.77-1.87</c:v>
                </c:pt>
                <c:pt idx="14">
                  <c:v>1.87-1.97</c:v>
                </c:pt>
                <c:pt idx="15">
                  <c:v>1.97-2.07</c:v>
                </c:pt>
                <c:pt idx="16">
                  <c:v>2.07-2.17</c:v>
                </c:pt>
                <c:pt idx="17">
                  <c:v>2.17-2.27</c:v>
                </c:pt>
                <c:pt idx="18">
                  <c:v>2.27-2.37</c:v>
                </c:pt>
                <c:pt idx="19">
                  <c:v>2.37-2.47</c:v>
                </c:pt>
                <c:pt idx="20">
                  <c:v>2.47-2.57</c:v>
                </c:pt>
                <c:pt idx="21">
                  <c:v>2.57-2.67</c:v>
                </c:pt>
                <c:pt idx="22">
                  <c:v>2.67-2.77</c:v>
                </c:pt>
                <c:pt idx="23">
                  <c:v>2.77-2.87</c:v>
                </c:pt>
                <c:pt idx="24">
                  <c:v>2.87-2.97</c:v>
                </c:pt>
                <c:pt idx="25">
                  <c:v>2.97-3.07</c:v>
                </c:pt>
                <c:pt idx="26">
                  <c:v>3.07-3.17</c:v>
                </c:pt>
                <c:pt idx="27">
                  <c:v>3.17-3.27</c:v>
                </c:pt>
                <c:pt idx="28">
                  <c:v>3.37-3.47</c:v>
                </c:pt>
                <c:pt idx="29">
                  <c:v>3.47-3.57</c:v>
                </c:pt>
                <c:pt idx="30">
                  <c:v>3.57-3.67</c:v>
                </c:pt>
                <c:pt idx="31">
                  <c:v>3.67-3.77</c:v>
                </c:pt>
                <c:pt idx="32">
                  <c:v>3.77-3.87</c:v>
                </c:pt>
                <c:pt idx="33">
                  <c:v>3.87-3.97</c:v>
                </c:pt>
                <c:pt idx="34">
                  <c:v>3.97-4.07</c:v>
                </c:pt>
                <c:pt idx="35">
                  <c:v>4.07-4.17</c:v>
                </c:pt>
                <c:pt idx="36">
                  <c:v>4.17-4.27</c:v>
                </c:pt>
                <c:pt idx="37">
                  <c:v>4.27-4.37</c:v>
                </c:pt>
                <c:pt idx="38">
                  <c:v>4.37-4.47</c:v>
                </c:pt>
                <c:pt idx="39">
                  <c:v>4.47-4.57</c:v>
                </c:pt>
                <c:pt idx="40">
                  <c:v>4.57-4.67</c:v>
                </c:pt>
                <c:pt idx="41">
                  <c:v>4.67-4.77</c:v>
                </c:pt>
                <c:pt idx="42">
                  <c:v>4.77-4.87</c:v>
                </c:pt>
                <c:pt idx="43">
                  <c:v>4.87-4.97</c:v>
                </c:pt>
                <c:pt idx="44">
                  <c:v>4.97-5.07</c:v>
                </c:pt>
                <c:pt idx="45">
                  <c:v>5.07-5.17</c:v>
                </c:pt>
                <c:pt idx="46">
                  <c:v>5.27-5.37</c:v>
                </c:pt>
                <c:pt idx="47">
                  <c:v>5.37-5.47</c:v>
                </c:pt>
                <c:pt idx="48">
                  <c:v>5.47-5.57</c:v>
                </c:pt>
                <c:pt idx="49">
                  <c:v>5.57-5.67</c:v>
                </c:pt>
                <c:pt idx="50">
                  <c:v>5.67-5.77</c:v>
                </c:pt>
                <c:pt idx="51">
                  <c:v>5.77-5.87</c:v>
                </c:pt>
                <c:pt idx="52">
                  <c:v>5.87-5.97</c:v>
                </c:pt>
                <c:pt idx="53">
                  <c:v>5.97-6.07</c:v>
                </c:pt>
                <c:pt idx="54">
                  <c:v>6.07-6.17</c:v>
                </c:pt>
              </c:strCache>
            </c:strRef>
          </c:cat>
          <c:val>
            <c:numRef>
              <c:f>Histograms!$AV$4:$AV$59</c:f>
              <c:numCache>
                <c:formatCode>General</c:formatCode>
                <c:ptCount val="55"/>
                <c:pt idx="45">
                  <c:v>1</c:v>
                </c:pt>
                <c:pt idx="47">
                  <c:v>2</c:v>
                </c:pt>
                <c:pt idx="49">
                  <c:v>1</c:v>
                </c:pt>
                <c:pt idx="52">
                  <c:v>1</c:v>
                </c:pt>
              </c:numCache>
            </c:numRef>
          </c:val>
        </c:ser>
        <c:ser>
          <c:idx val="7"/>
          <c:order val="7"/>
          <c:tx>
            <c:strRef>
              <c:f>Histograms!$AW$2:$AW$3</c:f>
              <c:strCache>
                <c:ptCount val="1"/>
                <c:pt idx="0">
                  <c:v>Other Non-Collision</c:v>
                </c:pt>
              </c:strCache>
            </c:strRef>
          </c:tx>
          <c:invertIfNegative val="0"/>
          <c:cat>
            <c:strRef>
              <c:f>Histograms!$AO$4:$AO$59</c:f>
              <c:strCache>
                <c:ptCount val="55"/>
                <c:pt idx="0">
                  <c:v>0.37-0.47</c:v>
                </c:pt>
                <c:pt idx="1">
                  <c:v>0.47-0.57</c:v>
                </c:pt>
                <c:pt idx="2">
                  <c:v>0.57-0.67</c:v>
                </c:pt>
                <c:pt idx="3">
                  <c:v>0.67-0.77</c:v>
                </c:pt>
                <c:pt idx="4">
                  <c:v>0.77-0.87</c:v>
                </c:pt>
                <c:pt idx="5">
                  <c:v>0.87-0.97</c:v>
                </c:pt>
                <c:pt idx="6">
                  <c:v>0.97-1.07</c:v>
                </c:pt>
                <c:pt idx="7">
                  <c:v>1.07-1.17</c:v>
                </c:pt>
                <c:pt idx="8">
                  <c:v>1.17-1.27</c:v>
                </c:pt>
                <c:pt idx="9">
                  <c:v>1.27-1.37</c:v>
                </c:pt>
                <c:pt idx="10">
                  <c:v>1.37-1.47</c:v>
                </c:pt>
                <c:pt idx="11">
                  <c:v>1.47-1.57</c:v>
                </c:pt>
                <c:pt idx="12">
                  <c:v>1.67-1.77</c:v>
                </c:pt>
                <c:pt idx="13">
                  <c:v>1.77-1.87</c:v>
                </c:pt>
                <c:pt idx="14">
                  <c:v>1.87-1.97</c:v>
                </c:pt>
                <c:pt idx="15">
                  <c:v>1.97-2.07</c:v>
                </c:pt>
                <c:pt idx="16">
                  <c:v>2.07-2.17</c:v>
                </c:pt>
                <c:pt idx="17">
                  <c:v>2.17-2.27</c:v>
                </c:pt>
                <c:pt idx="18">
                  <c:v>2.27-2.37</c:v>
                </c:pt>
                <c:pt idx="19">
                  <c:v>2.37-2.47</c:v>
                </c:pt>
                <c:pt idx="20">
                  <c:v>2.47-2.57</c:v>
                </c:pt>
                <c:pt idx="21">
                  <c:v>2.57-2.67</c:v>
                </c:pt>
                <c:pt idx="22">
                  <c:v>2.67-2.77</c:v>
                </c:pt>
                <c:pt idx="23">
                  <c:v>2.77-2.87</c:v>
                </c:pt>
                <c:pt idx="24">
                  <c:v>2.87-2.97</c:v>
                </c:pt>
                <c:pt idx="25">
                  <c:v>2.97-3.07</c:v>
                </c:pt>
                <c:pt idx="26">
                  <c:v>3.07-3.17</c:v>
                </c:pt>
                <c:pt idx="27">
                  <c:v>3.17-3.27</c:v>
                </c:pt>
                <c:pt idx="28">
                  <c:v>3.37-3.47</c:v>
                </c:pt>
                <c:pt idx="29">
                  <c:v>3.47-3.57</c:v>
                </c:pt>
                <c:pt idx="30">
                  <c:v>3.57-3.67</c:v>
                </c:pt>
                <c:pt idx="31">
                  <c:v>3.67-3.77</c:v>
                </c:pt>
                <c:pt idx="32">
                  <c:v>3.77-3.87</c:v>
                </c:pt>
                <c:pt idx="33">
                  <c:v>3.87-3.97</c:v>
                </c:pt>
                <c:pt idx="34">
                  <c:v>3.97-4.07</c:v>
                </c:pt>
                <c:pt idx="35">
                  <c:v>4.07-4.17</c:v>
                </c:pt>
                <c:pt idx="36">
                  <c:v>4.17-4.27</c:v>
                </c:pt>
                <c:pt idx="37">
                  <c:v>4.27-4.37</c:v>
                </c:pt>
                <c:pt idx="38">
                  <c:v>4.37-4.47</c:v>
                </c:pt>
                <c:pt idx="39">
                  <c:v>4.47-4.57</c:v>
                </c:pt>
                <c:pt idx="40">
                  <c:v>4.57-4.67</c:v>
                </c:pt>
                <c:pt idx="41">
                  <c:v>4.67-4.77</c:v>
                </c:pt>
                <c:pt idx="42">
                  <c:v>4.77-4.87</c:v>
                </c:pt>
                <c:pt idx="43">
                  <c:v>4.87-4.97</c:v>
                </c:pt>
                <c:pt idx="44">
                  <c:v>4.97-5.07</c:v>
                </c:pt>
                <c:pt idx="45">
                  <c:v>5.07-5.17</c:v>
                </c:pt>
                <c:pt idx="46">
                  <c:v>5.27-5.37</c:v>
                </c:pt>
                <c:pt idx="47">
                  <c:v>5.37-5.47</c:v>
                </c:pt>
                <c:pt idx="48">
                  <c:v>5.47-5.57</c:v>
                </c:pt>
                <c:pt idx="49">
                  <c:v>5.57-5.67</c:v>
                </c:pt>
                <c:pt idx="50">
                  <c:v>5.67-5.77</c:v>
                </c:pt>
                <c:pt idx="51">
                  <c:v>5.77-5.87</c:v>
                </c:pt>
                <c:pt idx="52">
                  <c:v>5.87-5.97</c:v>
                </c:pt>
                <c:pt idx="53">
                  <c:v>5.97-6.07</c:v>
                </c:pt>
                <c:pt idx="54">
                  <c:v>6.07-6.17</c:v>
                </c:pt>
              </c:strCache>
            </c:strRef>
          </c:cat>
          <c:val>
            <c:numRef>
              <c:f>Histograms!$AW$4:$AW$59</c:f>
              <c:numCache>
                <c:formatCode>General</c:formatCode>
                <c:ptCount val="55"/>
                <c:pt idx="26">
                  <c:v>1</c:v>
                </c:pt>
                <c:pt idx="31">
                  <c:v>1</c:v>
                </c:pt>
                <c:pt idx="32">
                  <c:v>2</c:v>
                </c:pt>
              </c:numCache>
            </c:numRef>
          </c:val>
        </c:ser>
        <c:ser>
          <c:idx val="8"/>
          <c:order val="8"/>
          <c:tx>
            <c:strRef>
              <c:f>Histograms!$AX$2:$AX$3</c:f>
              <c:strCache>
                <c:ptCount val="1"/>
                <c:pt idx="0">
                  <c:v>Sideswipe - Passing</c:v>
                </c:pt>
              </c:strCache>
            </c:strRef>
          </c:tx>
          <c:invertIfNegative val="0"/>
          <c:cat>
            <c:strRef>
              <c:f>Histograms!$AO$4:$AO$59</c:f>
              <c:strCache>
                <c:ptCount val="55"/>
                <c:pt idx="0">
                  <c:v>0.37-0.47</c:v>
                </c:pt>
                <c:pt idx="1">
                  <c:v>0.47-0.57</c:v>
                </c:pt>
                <c:pt idx="2">
                  <c:v>0.57-0.67</c:v>
                </c:pt>
                <c:pt idx="3">
                  <c:v>0.67-0.77</c:v>
                </c:pt>
                <c:pt idx="4">
                  <c:v>0.77-0.87</c:v>
                </c:pt>
                <c:pt idx="5">
                  <c:v>0.87-0.97</c:v>
                </c:pt>
                <c:pt idx="6">
                  <c:v>0.97-1.07</c:v>
                </c:pt>
                <c:pt idx="7">
                  <c:v>1.07-1.17</c:v>
                </c:pt>
                <c:pt idx="8">
                  <c:v>1.17-1.27</c:v>
                </c:pt>
                <c:pt idx="9">
                  <c:v>1.27-1.37</c:v>
                </c:pt>
                <c:pt idx="10">
                  <c:v>1.37-1.47</c:v>
                </c:pt>
                <c:pt idx="11">
                  <c:v>1.47-1.57</c:v>
                </c:pt>
                <c:pt idx="12">
                  <c:v>1.67-1.77</c:v>
                </c:pt>
                <c:pt idx="13">
                  <c:v>1.77-1.87</c:v>
                </c:pt>
                <c:pt idx="14">
                  <c:v>1.87-1.97</c:v>
                </c:pt>
                <c:pt idx="15">
                  <c:v>1.97-2.07</c:v>
                </c:pt>
                <c:pt idx="16">
                  <c:v>2.07-2.17</c:v>
                </c:pt>
                <c:pt idx="17">
                  <c:v>2.17-2.27</c:v>
                </c:pt>
                <c:pt idx="18">
                  <c:v>2.27-2.37</c:v>
                </c:pt>
                <c:pt idx="19">
                  <c:v>2.37-2.47</c:v>
                </c:pt>
                <c:pt idx="20">
                  <c:v>2.47-2.57</c:v>
                </c:pt>
                <c:pt idx="21">
                  <c:v>2.57-2.67</c:v>
                </c:pt>
                <c:pt idx="22">
                  <c:v>2.67-2.77</c:v>
                </c:pt>
                <c:pt idx="23">
                  <c:v>2.77-2.87</c:v>
                </c:pt>
                <c:pt idx="24">
                  <c:v>2.87-2.97</c:v>
                </c:pt>
                <c:pt idx="25">
                  <c:v>2.97-3.07</c:v>
                </c:pt>
                <c:pt idx="26">
                  <c:v>3.07-3.17</c:v>
                </c:pt>
                <c:pt idx="27">
                  <c:v>3.17-3.27</c:v>
                </c:pt>
                <c:pt idx="28">
                  <c:v>3.37-3.47</c:v>
                </c:pt>
                <c:pt idx="29">
                  <c:v>3.47-3.57</c:v>
                </c:pt>
                <c:pt idx="30">
                  <c:v>3.57-3.67</c:v>
                </c:pt>
                <c:pt idx="31">
                  <c:v>3.67-3.77</c:v>
                </c:pt>
                <c:pt idx="32">
                  <c:v>3.77-3.87</c:v>
                </c:pt>
                <c:pt idx="33">
                  <c:v>3.87-3.97</c:v>
                </c:pt>
                <c:pt idx="34">
                  <c:v>3.97-4.07</c:v>
                </c:pt>
                <c:pt idx="35">
                  <c:v>4.07-4.17</c:v>
                </c:pt>
                <c:pt idx="36">
                  <c:v>4.17-4.27</c:v>
                </c:pt>
                <c:pt idx="37">
                  <c:v>4.27-4.37</c:v>
                </c:pt>
                <c:pt idx="38">
                  <c:v>4.37-4.47</c:v>
                </c:pt>
                <c:pt idx="39">
                  <c:v>4.47-4.57</c:v>
                </c:pt>
                <c:pt idx="40">
                  <c:v>4.57-4.67</c:v>
                </c:pt>
                <c:pt idx="41">
                  <c:v>4.67-4.77</c:v>
                </c:pt>
                <c:pt idx="42">
                  <c:v>4.77-4.87</c:v>
                </c:pt>
                <c:pt idx="43">
                  <c:v>4.87-4.97</c:v>
                </c:pt>
                <c:pt idx="44">
                  <c:v>4.97-5.07</c:v>
                </c:pt>
                <c:pt idx="45">
                  <c:v>5.07-5.17</c:v>
                </c:pt>
                <c:pt idx="46">
                  <c:v>5.27-5.37</c:v>
                </c:pt>
                <c:pt idx="47">
                  <c:v>5.37-5.47</c:v>
                </c:pt>
                <c:pt idx="48">
                  <c:v>5.47-5.57</c:v>
                </c:pt>
                <c:pt idx="49">
                  <c:v>5.57-5.67</c:v>
                </c:pt>
                <c:pt idx="50">
                  <c:v>5.67-5.77</c:v>
                </c:pt>
                <c:pt idx="51">
                  <c:v>5.77-5.87</c:v>
                </c:pt>
                <c:pt idx="52">
                  <c:v>5.87-5.97</c:v>
                </c:pt>
                <c:pt idx="53">
                  <c:v>5.97-6.07</c:v>
                </c:pt>
                <c:pt idx="54">
                  <c:v>6.07-6.17</c:v>
                </c:pt>
              </c:strCache>
            </c:strRef>
          </c:cat>
          <c:val>
            <c:numRef>
              <c:f>Histograms!$AX$4:$AX$59</c:f>
              <c:numCache>
                <c:formatCode>General</c:formatCode>
                <c:ptCount val="55"/>
                <c:pt idx="37">
                  <c:v>1</c:v>
                </c:pt>
                <c:pt idx="40">
                  <c:v>1</c:v>
                </c:pt>
                <c:pt idx="43">
                  <c:v>1</c:v>
                </c:pt>
                <c:pt idx="51">
                  <c:v>1</c:v>
                </c:pt>
              </c:numCache>
            </c:numRef>
          </c:val>
        </c:ser>
        <c:ser>
          <c:idx val="9"/>
          <c:order val="9"/>
          <c:tx>
            <c:strRef>
              <c:f>Histograms!$AY$2:$AY$3</c:f>
              <c:strCache>
                <c:ptCount val="1"/>
                <c:pt idx="0">
                  <c:v>Left Turn</c:v>
                </c:pt>
              </c:strCache>
            </c:strRef>
          </c:tx>
          <c:invertIfNegative val="0"/>
          <c:cat>
            <c:strRef>
              <c:f>Histograms!$AO$4:$AO$59</c:f>
              <c:strCache>
                <c:ptCount val="55"/>
                <c:pt idx="0">
                  <c:v>0.37-0.47</c:v>
                </c:pt>
                <c:pt idx="1">
                  <c:v>0.47-0.57</c:v>
                </c:pt>
                <c:pt idx="2">
                  <c:v>0.57-0.67</c:v>
                </c:pt>
                <c:pt idx="3">
                  <c:v>0.67-0.77</c:v>
                </c:pt>
                <c:pt idx="4">
                  <c:v>0.77-0.87</c:v>
                </c:pt>
                <c:pt idx="5">
                  <c:v>0.87-0.97</c:v>
                </c:pt>
                <c:pt idx="6">
                  <c:v>0.97-1.07</c:v>
                </c:pt>
                <c:pt idx="7">
                  <c:v>1.07-1.17</c:v>
                </c:pt>
                <c:pt idx="8">
                  <c:v>1.17-1.27</c:v>
                </c:pt>
                <c:pt idx="9">
                  <c:v>1.27-1.37</c:v>
                </c:pt>
                <c:pt idx="10">
                  <c:v>1.37-1.47</c:v>
                </c:pt>
                <c:pt idx="11">
                  <c:v>1.47-1.57</c:v>
                </c:pt>
                <c:pt idx="12">
                  <c:v>1.67-1.77</c:v>
                </c:pt>
                <c:pt idx="13">
                  <c:v>1.77-1.87</c:v>
                </c:pt>
                <c:pt idx="14">
                  <c:v>1.87-1.97</c:v>
                </c:pt>
                <c:pt idx="15">
                  <c:v>1.97-2.07</c:v>
                </c:pt>
                <c:pt idx="16">
                  <c:v>2.07-2.17</c:v>
                </c:pt>
                <c:pt idx="17">
                  <c:v>2.17-2.27</c:v>
                </c:pt>
                <c:pt idx="18">
                  <c:v>2.27-2.37</c:v>
                </c:pt>
                <c:pt idx="19">
                  <c:v>2.37-2.47</c:v>
                </c:pt>
                <c:pt idx="20">
                  <c:v>2.47-2.57</c:v>
                </c:pt>
                <c:pt idx="21">
                  <c:v>2.57-2.67</c:v>
                </c:pt>
                <c:pt idx="22">
                  <c:v>2.67-2.77</c:v>
                </c:pt>
                <c:pt idx="23">
                  <c:v>2.77-2.87</c:v>
                </c:pt>
                <c:pt idx="24">
                  <c:v>2.87-2.97</c:v>
                </c:pt>
                <c:pt idx="25">
                  <c:v>2.97-3.07</c:v>
                </c:pt>
                <c:pt idx="26">
                  <c:v>3.07-3.17</c:v>
                </c:pt>
                <c:pt idx="27">
                  <c:v>3.17-3.27</c:v>
                </c:pt>
                <c:pt idx="28">
                  <c:v>3.37-3.47</c:v>
                </c:pt>
                <c:pt idx="29">
                  <c:v>3.47-3.57</c:v>
                </c:pt>
                <c:pt idx="30">
                  <c:v>3.57-3.67</c:v>
                </c:pt>
                <c:pt idx="31">
                  <c:v>3.67-3.77</c:v>
                </c:pt>
                <c:pt idx="32">
                  <c:v>3.77-3.87</c:v>
                </c:pt>
                <c:pt idx="33">
                  <c:v>3.87-3.97</c:v>
                </c:pt>
                <c:pt idx="34">
                  <c:v>3.97-4.07</c:v>
                </c:pt>
                <c:pt idx="35">
                  <c:v>4.07-4.17</c:v>
                </c:pt>
                <c:pt idx="36">
                  <c:v>4.17-4.27</c:v>
                </c:pt>
                <c:pt idx="37">
                  <c:v>4.27-4.37</c:v>
                </c:pt>
                <c:pt idx="38">
                  <c:v>4.37-4.47</c:v>
                </c:pt>
                <c:pt idx="39">
                  <c:v>4.47-4.57</c:v>
                </c:pt>
                <c:pt idx="40">
                  <c:v>4.57-4.67</c:v>
                </c:pt>
                <c:pt idx="41">
                  <c:v>4.67-4.77</c:v>
                </c:pt>
                <c:pt idx="42">
                  <c:v>4.77-4.87</c:v>
                </c:pt>
                <c:pt idx="43">
                  <c:v>4.87-4.97</c:v>
                </c:pt>
                <c:pt idx="44">
                  <c:v>4.97-5.07</c:v>
                </c:pt>
                <c:pt idx="45">
                  <c:v>5.07-5.17</c:v>
                </c:pt>
                <c:pt idx="46">
                  <c:v>5.27-5.37</c:v>
                </c:pt>
                <c:pt idx="47">
                  <c:v>5.37-5.47</c:v>
                </c:pt>
                <c:pt idx="48">
                  <c:v>5.47-5.57</c:v>
                </c:pt>
                <c:pt idx="49">
                  <c:v>5.57-5.67</c:v>
                </c:pt>
                <c:pt idx="50">
                  <c:v>5.67-5.77</c:v>
                </c:pt>
                <c:pt idx="51">
                  <c:v>5.77-5.87</c:v>
                </c:pt>
                <c:pt idx="52">
                  <c:v>5.87-5.97</c:v>
                </c:pt>
                <c:pt idx="53">
                  <c:v>5.97-6.07</c:v>
                </c:pt>
                <c:pt idx="54">
                  <c:v>6.07-6.17</c:v>
                </c:pt>
              </c:strCache>
            </c:strRef>
          </c:cat>
          <c:val>
            <c:numRef>
              <c:f>Histograms!$AY$4:$AY$59</c:f>
              <c:numCache>
                <c:formatCode>General</c:formatCode>
                <c:ptCount val="55"/>
                <c:pt idx="4">
                  <c:v>1</c:v>
                </c:pt>
                <c:pt idx="33">
                  <c:v>1</c:v>
                </c:pt>
                <c:pt idx="47">
                  <c:v>1</c:v>
                </c:pt>
                <c:pt idx="54">
                  <c:v>1</c:v>
                </c:pt>
              </c:numCache>
            </c:numRef>
          </c:val>
        </c:ser>
        <c:ser>
          <c:idx val="10"/>
          <c:order val="10"/>
          <c:tx>
            <c:strRef>
              <c:f>Histograms!$AZ$2:$AZ$3</c:f>
              <c:strCache>
                <c:ptCount val="1"/>
                <c:pt idx="0">
                  <c:v>Overturning</c:v>
                </c:pt>
              </c:strCache>
            </c:strRef>
          </c:tx>
          <c:invertIfNegative val="0"/>
          <c:cat>
            <c:strRef>
              <c:f>Histograms!$AO$4:$AO$59</c:f>
              <c:strCache>
                <c:ptCount val="55"/>
                <c:pt idx="0">
                  <c:v>0.37-0.47</c:v>
                </c:pt>
                <c:pt idx="1">
                  <c:v>0.47-0.57</c:v>
                </c:pt>
                <c:pt idx="2">
                  <c:v>0.57-0.67</c:v>
                </c:pt>
                <c:pt idx="3">
                  <c:v>0.67-0.77</c:v>
                </c:pt>
                <c:pt idx="4">
                  <c:v>0.77-0.87</c:v>
                </c:pt>
                <c:pt idx="5">
                  <c:v>0.87-0.97</c:v>
                </c:pt>
                <c:pt idx="6">
                  <c:v>0.97-1.07</c:v>
                </c:pt>
                <c:pt idx="7">
                  <c:v>1.07-1.17</c:v>
                </c:pt>
                <c:pt idx="8">
                  <c:v>1.17-1.27</c:v>
                </c:pt>
                <c:pt idx="9">
                  <c:v>1.27-1.37</c:v>
                </c:pt>
                <c:pt idx="10">
                  <c:v>1.37-1.47</c:v>
                </c:pt>
                <c:pt idx="11">
                  <c:v>1.47-1.57</c:v>
                </c:pt>
                <c:pt idx="12">
                  <c:v>1.67-1.77</c:v>
                </c:pt>
                <c:pt idx="13">
                  <c:v>1.77-1.87</c:v>
                </c:pt>
                <c:pt idx="14">
                  <c:v>1.87-1.97</c:v>
                </c:pt>
                <c:pt idx="15">
                  <c:v>1.97-2.07</c:v>
                </c:pt>
                <c:pt idx="16">
                  <c:v>2.07-2.17</c:v>
                </c:pt>
                <c:pt idx="17">
                  <c:v>2.17-2.27</c:v>
                </c:pt>
                <c:pt idx="18">
                  <c:v>2.27-2.37</c:v>
                </c:pt>
                <c:pt idx="19">
                  <c:v>2.37-2.47</c:v>
                </c:pt>
                <c:pt idx="20">
                  <c:v>2.47-2.57</c:v>
                </c:pt>
                <c:pt idx="21">
                  <c:v>2.57-2.67</c:v>
                </c:pt>
                <c:pt idx="22">
                  <c:v>2.67-2.77</c:v>
                </c:pt>
                <c:pt idx="23">
                  <c:v>2.77-2.87</c:v>
                </c:pt>
                <c:pt idx="24">
                  <c:v>2.87-2.97</c:v>
                </c:pt>
                <c:pt idx="25">
                  <c:v>2.97-3.07</c:v>
                </c:pt>
                <c:pt idx="26">
                  <c:v>3.07-3.17</c:v>
                </c:pt>
                <c:pt idx="27">
                  <c:v>3.17-3.27</c:v>
                </c:pt>
                <c:pt idx="28">
                  <c:v>3.37-3.47</c:v>
                </c:pt>
                <c:pt idx="29">
                  <c:v>3.47-3.57</c:v>
                </c:pt>
                <c:pt idx="30">
                  <c:v>3.57-3.67</c:v>
                </c:pt>
                <c:pt idx="31">
                  <c:v>3.67-3.77</c:v>
                </c:pt>
                <c:pt idx="32">
                  <c:v>3.77-3.87</c:v>
                </c:pt>
                <c:pt idx="33">
                  <c:v>3.87-3.97</c:v>
                </c:pt>
                <c:pt idx="34">
                  <c:v>3.97-4.07</c:v>
                </c:pt>
                <c:pt idx="35">
                  <c:v>4.07-4.17</c:v>
                </c:pt>
                <c:pt idx="36">
                  <c:v>4.17-4.27</c:v>
                </c:pt>
                <c:pt idx="37">
                  <c:v>4.27-4.37</c:v>
                </c:pt>
                <c:pt idx="38">
                  <c:v>4.37-4.47</c:v>
                </c:pt>
                <c:pt idx="39">
                  <c:v>4.47-4.57</c:v>
                </c:pt>
                <c:pt idx="40">
                  <c:v>4.57-4.67</c:v>
                </c:pt>
                <c:pt idx="41">
                  <c:v>4.67-4.77</c:v>
                </c:pt>
                <c:pt idx="42">
                  <c:v>4.77-4.87</c:v>
                </c:pt>
                <c:pt idx="43">
                  <c:v>4.87-4.97</c:v>
                </c:pt>
                <c:pt idx="44">
                  <c:v>4.97-5.07</c:v>
                </c:pt>
                <c:pt idx="45">
                  <c:v>5.07-5.17</c:v>
                </c:pt>
                <c:pt idx="46">
                  <c:v>5.27-5.37</c:v>
                </c:pt>
                <c:pt idx="47">
                  <c:v>5.37-5.47</c:v>
                </c:pt>
                <c:pt idx="48">
                  <c:v>5.47-5.57</c:v>
                </c:pt>
                <c:pt idx="49">
                  <c:v>5.57-5.67</c:v>
                </c:pt>
                <c:pt idx="50">
                  <c:v>5.67-5.77</c:v>
                </c:pt>
                <c:pt idx="51">
                  <c:v>5.77-5.87</c:v>
                </c:pt>
                <c:pt idx="52">
                  <c:v>5.87-5.97</c:v>
                </c:pt>
                <c:pt idx="53">
                  <c:v>5.97-6.07</c:v>
                </c:pt>
                <c:pt idx="54">
                  <c:v>6.07-6.17</c:v>
                </c:pt>
              </c:strCache>
            </c:strRef>
          </c:cat>
          <c:val>
            <c:numRef>
              <c:f>Histograms!$AZ$4:$AZ$59</c:f>
              <c:numCache>
                <c:formatCode>General</c:formatCode>
                <c:ptCount val="55"/>
                <c:pt idx="0">
                  <c:v>1</c:v>
                </c:pt>
                <c:pt idx="24">
                  <c:v>1</c:v>
                </c:pt>
                <c:pt idx="29">
                  <c:v>1</c:v>
                </c:pt>
              </c:numCache>
            </c:numRef>
          </c:val>
        </c:ser>
        <c:ser>
          <c:idx val="11"/>
          <c:order val="11"/>
          <c:tx>
            <c:strRef>
              <c:f>Histograms!$BA$2:$BA$3</c:f>
              <c:strCache>
                <c:ptCount val="1"/>
                <c:pt idx="0">
                  <c:v>Pedestrian</c:v>
                </c:pt>
              </c:strCache>
            </c:strRef>
          </c:tx>
          <c:invertIfNegative val="0"/>
          <c:cat>
            <c:strRef>
              <c:f>Histograms!$AO$4:$AO$59</c:f>
              <c:strCache>
                <c:ptCount val="55"/>
                <c:pt idx="0">
                  <c:v>0.37-0.47</c:v>
                </c:pt>
                <c:pt idx="1">
                  <c:v>0.47-0.57</c:v>
                </c:pt>
                <c:pt idx="2">
                  <c:v>0.57-0.67</c:v>
                </c:pt>
                <c:pt idx="3">
                  <c:v>0.67-0.77</c:v>
                </c:pt>
                <c:pt idx="4">
                  <c:v>0.77-0.87</c:v>
                </c:pt>
                <c:pt idx="5">
                  <c:v>0.87-0.97</c:v>
                </c:pt>
                <c:pt idx="6">
                  <c:v>0.97-1.07</c:v>
                </c:pt>
                <c:pt idx="7">
                  <c:v>1.07-1.17</c:v>
                </c:pt>
                <c:pt idx="8">
                  <c:v>1.17-1.27</c:v>
                </c:pt>
                <c:pt idx="9">
                  <c:v>1.27-1.37</c:v>
                </c:pt>
                <c:pt idx="10">
                  <c:v>1.37-1.47</c:v>
                </c:pt>
                <c:pt idx="11">
                  <c:v>1.47-1.57</c:v>
                </c:pt>
                <c:pt idx="12">
                  <c:v>1.67-1.77</c:v>
                </c:pt>
                <c:pt idx="13">
                  <c:v>1.77-1.87</c:v>
                </c:pt>
                <c:pt idx="14">
                  <c:v>1.87-1.97</c:v>
                </c:pt>
                <c:pt idx="15">
                  <c:v>1.97-2.07</c:v>
                </c:pt>
                <c:pt idx="16">
                  <c:v>2.07-2.17</c:v>
                </c:pt>
                <c:pt idx="17">
                  <c:v>2.17-2.27</c:v>
                </c:pt>
                <c:pt idx="18">
                  <c:v>2.27-2.37</c:v>
                </c:pt>
                <c:pt idx="19">
                  <c:v>2.37-2.47</c:v>
                </c:pt>
                <c:pt idx="20">
                  <c:v>2.47-2.57</c:v>
                </c:pt>
                <c:pt idx="21">
                  <c:v>2.57-2.67</c:v>
                </c:pt>
                <c:pt idx="22">
                  <c:v>2.67-2.77</c:v>
                </c:pt>
                <c:pt idx="23">
                  <c:v>2.77-2.87</c:v>
                </c:pt>
                <c:pt idx="24">
                  <c:v>2.87-2.97</c:v>
                </c:pt>
                <c:pt idx="25">
                  <c:v>2.97-3.07</c:v>
                </c:pt>
                <c:pt idx="26">
                  <c:v>3.07-3.17</c:v>
                </c:pt>
                <c:pt idx="27">
                  <c:v>3.17-3.27</c:v>
                </c:pt>
                <c:pt idx="28">
                  <c:v>3.37-3.47</c:v>
                </c:pt>
                <c:pt idx="29">
                  <c:v>3.47-3.57</c:v>
                </c:pt>
                <c:pt idx="30">
                  <c:v>3.57-3.67</c:v>
                </c:pt>
                <c:pt idx="31">
                  <c:v>3.67-3.77</c:v>
                </c:pt>
                <c:pt idx="32">
                  <c:v>3.77-3.87</c:v>
                </c:pt>
                <c:pt idx="33">
                  <c:v>3.87-3.97</c:v>
                </c:pt>
                <c:pt idx="34">
                  <c:v>3.97-4.07</c:v>
                </c:pt>
                <c:pt idx="35">
                  <c:v>4.07-4.17</c:v>
                </c:pt>
                <c:pt idx="36">
                  <c:v>4.17-4.27</c:v>
                </c:pt>
                <c:pt idx="37">
                  <c:v>4.27-4.37</c:v>
                </c:pt>
                <c:pt idx="38">
                  <c:v>4.37-4.47</c:v>
                </c:pt>
                <c:pt idx="39">
                  <c:v>4.47-4.57</c:v>
                </c:pt>
                <c:pt idx="40">
                  <c:v>4.57-4.67</c:v>
                </c:pt>
                <c:pt idx="41">
                  <c:v>4.67-4.77</c:v>
                </c:pt>
                <c:pt idx="42">
                  <c:v>4.77-4.87</c:v>
                </c:pt>
                <c:pt idx="43">
                  <c:v>4.87-4.97</c:v>
                </c:pt>
                <c:pt idx="44">
                  <c:v>4.97-5.07</c:v>
                </c:pt>
                <c:pt idx="45">
                  <c:v>5.07-5.17</c:v>
                </c:pt>
                <c:pt idx="46">
                  <c:v>5.27-5.37</c:v>
                </c:pt>
                <c:pt idx="47">
                  <c:v>5.37-5.47</c:v>
                </c:pt>
                <c:pt idx="48">
                  <c:v>5.47-5.57</c:v>
                </c:pt>
                <c:pt idx="49">
                  <c:v>5.57-5.67</c:v>
                </c:pt>
                <c:pt idx="50">
                  <c:v>5.67-5.77</c:v>
                </c:pt>
                <c:pt idx="51">
                  <c:v>5.77-5.87</c:v>
                </c:pt>
                <c:pt idx="52">
                  <c:v>5.87-5.97</c:v>
                </c:pt>
                <c:pt idx="53">
                  <c:v>5.97-6.07</c:v>
                </c:pt>
                <c:pt idx="54">
                  <c:v>6.07-6.17</c:v>
                </c:pt>
              </c:strCache>
            </c:strRef>
          </c:cat>
          <c:val>
            <c:numRef>
              <c:f>Histograms!$BA$4:$BA$59</c:f>
              <c:numCache>
                <c:formatCode>General</c:formatCode>
                <c:ptCount val="55"/>
                <c:pt idx="48">
                  <c:v>2</c:v>
                </c:pt>
                <c:pt idx="51">
                  <c:v>1</c:v>
                </c:pt>
              </c:numCache>
            </c:numRef>
          </c:val>
        </c:ser>
        <c:ser>
          <c:idx val="12"/>
          <c:order val="12"/>
          <c:tx>
            <c:strRef>
              <c:f>Histograms!$BB$2:$BB$3</c:f>
              <c:strCache>
                <c:ptCount val="1"/>
                <c:pt idx="0">
                  <c:v>Other Object</c:v>
                </c:pt>
              </c:strCache>
            </c:strRef>
          </c:tx>
          <c:invertIfNegative val="0"/>
          <c:cat>
            <c:strRef>
              <c:f>Histograms!$AO$4:$AO$59</c:f>
              <c:strCache>
                <c:ptCount val="55"/>
                <c:pt idx="0">
                  <c:v>0.37-0.47</c:v>
                </c:pt>
                <c:pt idx="1">
                  <c:v>0.47-0.57</c:v>
                </c:pt>
                <c:pt idx="2">
                  <c:v>0.57-0.67</c:v>
                </c:pt>
                <c:pt idx="3">
                  <c:v>0.67-0.77</c:v>
                </c:pt>
                <c:pt idx="4">
                  <c:v>0.77-0.87</c:v>
                </c:pt>
                <c:pt idx="5">
                  <c:v>0.87-0.97</c:v>
                </c:pt>
                <c:pt idx="6">
                  <c:v>0.97-1.07</c:v>
                </c:pt>
                <c:pt idx="7">
                  <c:v>1.07-1.17</c:v>
                </c:pt>
                <c:pt idx="8">
                  <c:v>1.17-1.27</c:v>
                </c:pt>
                <c:pt idx="9">
                  <c:v>1.27-1.37</c:v>
                </c:pt>
                <c:pt idx="10">
                  <c:v>1.37-1.47</c:v>
                </c:pt>
                <c:pt idx="11">
                  <c:v>1.47-1.57</c:v>
                </c:pt>
                <c:pt idx="12">
                  <c:v>1.67-1.77</c:v>
                </c:pt>
                <c:pt idx="13">
                  <c:v>1.77-1.87</c:v>
                </c:pt>
                <c:pt idx="14">
                  <c:v>1.87-1.97</c:v>
                </c:pt>
                <c:pt idx="15">
                  <c:v>1.97-2.07</c:v>
                </c:pt>
                <c:pt idx="16">
                  <c:v>2.07-2.17</c:v>
                </c:pt>
                <c:pt idx="17">
                  <c:v>2.17-2.27</c:v>
                </c:pt>
                <c:pt idx="18">
                  <c:v>2.27-2.37</c:v>
                </c:pt>
                <c:pt idx="19">
                  <c:v>2.37-2.47</c:v>
                </c:pt>
                <c:pt idx="20">
                  <c:v>2.47-2.57</c:v>
                </c:pt>
                <c:pt idx="21">
                  <c:v>2.57-2.67</c:v>
                </c:pt>
                <c:pt idx="22">
                  <c:v>2.67-2.77</c:v>
                </c:pt>
                <c:pt idx="23">
                  <c:v>2.77-2.87</c:v>
                </c:pt>
                <c:pt idx="24">
                  <c:v>2.87-2.97</c:v>
                </c:pt>
                <c:pt idx="25">
                  <c:v>2.97-3.07</c:v>
                </c:pt>
                <c:pt idx="26">
                  <c:v>3.07-3.17</c:v>
                </c:pt>
                <c:pt idx="27">
                  <c:v>3.17-3.27</c:v>
                </c:pt>
                <c:pt idx="28">
                  <c:v>3.37-3.47</c:v>
                </c:pt>
                <c:pt idx="29">
                  <c:v>3.47-3.57</c:v>
                </c:pt>
                <c:pt idx="30">
                  <c:v>3.57-3.67</c:v>
                </c:pt>
                <c:pt idx="31">
                  <c:v>3.67-3.77</c:v>
                </c:pt>
                <c:pt idx="32">
                  <c:v>3.77-3.87</c:v>
                </c:pt>
                <c:pt idx="33">
                  <c:v>3.87-3.97</c:v>
                </c:pt>
                <c:pt idx="34">
                  <c:v>3.97-4.07</c:v>
                </c:pt>
                <c:pt idx="35">
                  <c:v>4.07-4.17</c:v>
                </c:pt>
                <c:pt idx="36">
                  <c:v>4.17-4.27</c:v>
                </c:pt>
                <c:pt idx="37">
                  <c:v>4.27-4.37</c:v>
                </c:pt>
                <c:pt idx="38">
                  <c:v>4.37-4.47</c:v>
                </c:pt>
                <c:pt idx="39">
                  <c:v>4.47-4.57</c:v>
                </c:pt>
                <c:pt idx="40">
                  <c:v>4.57-4.67</c:v>
                </c:pt>
                <c:pt idx="41">
                  <c:v>4.67-4.77</c:v>
                </c:pt>
                <c:pt idx="42">
                  <c:v>4.77-4.87</c:v>
                </c:pt>
                <c:pt idx="43">
                  <c:v>4.87-4.97</c:v>
                </c:pt>
                <c:pt idx="44">
                  <c:v>4.97-5.07</c:v>
                </c:pt>
                <c:pt idx="45">
                  <c:v>5.07-5.17</c:v>
                </c:pt>
                <c:pt idx="46">
                  <c:v>5.27-5.37</c:v>
                </c:pt>
                <c:pt idx="47">
                  <c:v>5.37-5.47</c:v>
                </c:pt>
                <c:pt idx="48">
                  <c:v>5.47-5.57</c:v>
                </c:pt>
                <c:pt idx="49">
                  <c:v>5.57-5.67</c:v>
                </c:pt>
                <c:pt idx="50">
                  <c:v>5.67-5.77</c:v>
                </c:pt>
                <c:pt idx="51">
                  <c:v>5.77-5.87</c:v>
                </c:pt>
                <c:pt idx="52">
                  <c:v>5.87-5.97</c:v>
                </c:pt>
                <c:pt idx="53">
                  <c:v>5.97-6.07</c:v>
                </c:pt>
                <c:pt idx="54">
                  <c:v>6.07-6.17</c:v>
                </c:pt>
              </c:strCache>
            </c:strRef>
          </c:cat>
          <c:val>
            <c:numRef>
              <c:f>Histograms!$BB$4:$BB$59</c:f>
              <c:numCache>
                <c:formatCode>General</c:formatCode>
                <c:ptCount val="55"/>
                <c:pt idx="6">
                  <c:v>1</c:v>
                </c:pt>
                <c:pt idx="10">
                  <c:v>1</c:v>
                </c:pt>
                <c:pt idx="51">
                  <c:v>1</c:v>
                </c:pt>
              </c:numCache>
            </c:numRef>
          </c:val>
        </c:ser>
        <c:ser>
          <c:idx val="13"/>
          <c:order val="13"/>
          <c:tx>
            <c:strRef>
              <c:f>Histograms!$BC$2:$BC$3</c:f>
              <c:strCache>
                <c:ptCount val="1"/>
                <c:pt idx="0">
                  <c:v>Sideswipe - Meeting</c:v>
                </c:pt>
              </c:strCache>
            </c:strRef>
          </c:tx>
          <c:invertIfNegative val="0"/>
          <c:cat>
            <c:strRef>
              <c:f>Histograms!$AO$4:$AO$59</c:f>
              <c:strCache>
                <c:ptCount val="55"/>
                <c:pt idx="0">
                  <c:v>0.37-0.47</c:v>
                </c:pt>
                <c:pt idx="1">
                  <c:v>0.47-0.57</c:v>
                </c:pt>
                <c:pt idx="2">
                  <c:v>0.57-0.67</c:v>
                </c:pt>
                <c:pt idx="3">
                  <c:v>0.67-0.77</c:v>
                </c:pt>
                <c:pt idx="4">
                  <c:v>0.77-0.87</c:v>
                </c:pt>
                <c:pt idx="5">
                  <c:v>0.87-0.97</c:v>
                </c:pt>
                <c:pt idx="6">
                  <c:v>0.97-1.07</c:v>
                </c:pt>
                <c:pt idx="7">
                  <c:v>1.07-1.17</c:v>
                </c:pt>
                <c:pt idx="8">
                  <c:v>1.17-1.27</c:v>
                </c:pt>
                <c:pt idx="9">
                  <c:v>1.27-1.37</c:v>
                </c:pt>
                <c:pt idx="10">
                  <c:v>1.37-1.47</c:v>
                </c:pt>
                <c:pt idx="11">
                  <c:v>1.47-1.57</c:v>
                </c:pt>
                <c:pt idx="12">
                  <c:v>1.67-1.77</c:v>
                </c:pt>
                <c:pt idx="13">
                  <c:v>1.77-1.87</c:v>
                </c:pt>
                <c:pt idx="14">
                  <c:v>1.87-1.97</c:v>
                </c:pt>
                <c:pt idx="15">
                  <c:v>1.97-2.07</c:v>
                </c:pt>
                <c:pt idx="16">
                  <c:v>2.07-2.17</c:v>
                </c:pt>
                <c:pt idx="17">
                  <c:v>2.17-2.27</c:v>
                </c:pt>
                <c:pt idx="18">
                  <c:v>2.27-2.37</c:v>
                </c:pt>
                <c:pt idx="19">
                  <c:v>2.37-2.47</c:v>
                </c:pt>
                <c:pt idx="20">
                  <c:v>2.47-2.57</c:v>
                </c:pt>
                <c:pt idx="21">
                  <c:v>2.57-2.67</c:v>
                </c:pt>
                <c:pt idx="22">
                  <c:v>2.67-2.77</c:v>
                </c:pt>
                <c:pt idx="23">
                  <c:v>2.77-2.87</c:v>
                </c:pt>
                <c:pt idx="24">
                  <c:v>2.87-2.97</c:v>
                </c:pt>
                <c:pt idx="25">
                  <c:v>2.97-3.07</c:v>
                </c:pt>
                <c:pt idx="26">
                  <c:v>3.07-3.17</c:v>
                </c:pt>
                <c:pt idx="27">
                  <c:v>3.17-3.27</c:v>
                </c:pt>
                <c:pt idx="28">
                  <c:v>3.37-3.47</c:v>
                </c:pt>
                <c:pt idx="29">
                  <c:v>3.47-3.57</c:v>
                </c:pt>
                <c:pt idx="30">
                  <c:v>3.57-3.67</c:v>
                </c:pt>
                <c:pt idx="31">
                  <c:v>3.67-3.77</c:v>
                </c:pt>
                <c:pt idx="32">
                  <c:v>3.77-3.87</c:v>
                </c:pt>
                <c:pt idx="33">
                  <c:v>3.87-3.97</c:v>
                </c:pt>
                <c:pt idx="34">
                  <c:v>3.97-4.07</c:v>
                </c:pt>
                <c:pt idx="35">
                  <c:v>4.07-4.17</c:v>
                </c:pt>
                <c:pt idx="36">
                  <c:v>4.17-4.27</c:v>
                </c:pt>
                <c:pt idx="37">
                  <c:v>4.27-4.37</c:v>
                </c:pt>
                <c:pt idx="38">
                  <c:v>4.37-4.47</c:v>
                </c:pt>
                <c:pt idx="39">
                  <c:v>4.47-4.57</c:v>
                </c:pt>
                <c:pt idx="40">
                  <c:v>4.57-4.67</c:v>
                </c:pt>
                <c:pt idx="41">
                  <c:v>4.67-4.77</c:v>
                </c:pt>
                <c:pt idx="42">
                  <c:v>4.77-4.87</c:v>
                </c:pt>
                <c:pt idx="43">
                  <c:v>4.87-4.97</c:v>
                </c:pt>
                <c:pt idx="44">
                  <c:v>4.97-5.07</c:v>
                </c:pt>
                <c:pt idx="45">
                  <c:v>5.07-5.17</c:v>
                </c:pt>
                <c:pt idx="46">
                  <c:v>5.27-5.37</c:v>
                </c:pt>
                <c:pt idx="47">
                  <c:v>5.37-5.47</c:v>
                </c:pt>
                <c:pt idx="48">
                  <c:v>5.47-5.57</c:v>
                </c:pt>
                <c:pt idx="49">
                  <c:v>5.57-5.67</c:v>
                </c:pt>
                <c:pt idx="50">
                  <c:v>5.67-5.77</c:v>
                </c:pt>
                <c:pt idx="51">
                  <c:v>5.77-5.87</c:v>
                </c:pt>
                <c:pt idx="52">
                  <c:v>5.87-5.97</c:v>
                </c:pt>
                <c:pt idx="53">
                  <c:v>5.97-6.07</c:v>
                </c:pt>
                <c:pt idx="54">
                  <c:v>6.07-6.17</c:v>
                </c:pt>
              </c:strCache>
            </c:strRef>
          </c:cat>
          <c:val>
            <c:numRef>
              <c:f>Histograms!$BC$4:$BC$59</c:f>
              <c:numCache>
                <c:formatCode>General</c:formatCode>
                <c:ptCount val="55"/>
                <c:pt idx="37">
                  <c:v>1</c:v>
                </c:pt>
                <c:pt idx="46">
                  <c:v>1</c:v>
                </c:pt>
              </c:numCache>
            </c:numRef>
          </c:val>
        </c:ser>
        <c:ser>
          <c:idx val="14"/>
          <c:order val="14"/>
          <c:tx>
            <c:strRef>
              <c:f>Histograms!$BD$2:$BD$3</c:f>
              <c:strCache>
                <c:ptCount val="1"/>
                <c:pt idx="0">
                  <c:v>Head On</c:v>
                </c:pt>
              </c:strCache>
            </c:strRef>
          </c:tx>
          <c:invertIfNegative val="0"/>
          <c:cat>
            <c:strRef>
              <c:f>Histograms!$AO$4:$AO$59</c:f>
              <c:strCache>
                <c:ptCount val="55"/>
                <c:pt idx="0">
                  <c:v>0.37-0.47</c:v>
                </c:pt>
                <c:pt idx="1">
                  <c:v>0.47-0.57</c:v>
                </c:pt>
                <c:pt idx="2">
                  <c:v>0.57-0.67</c:v>
                </c:pt>
                <c:pt idx="3">
                  <c:v>0.67-0.77</c:v>
                </c:pt>
                <c:pt idx="4">
                  <c:v>0.77-0.87</c:v>
                </c:pt>
                <c:pt idx="5">
                  <c:v>0.87-0.97</c:v>
                </c:pt>
                <c:pt idx="6">
                  <c:v>0.97-1.07</c:v>
                </c:pt>
                <c:pt idx="7">
                  <c:v>1.07-1.17</c:v>
                </c:pt>
                <c:pt idx="8">
                  <c:v>1.17-1.27</c:v>
                </c:pt>
                <c:pt idx="9">
                  <c:v>1.27-1.37</c:v>
                </c:pt>
                <c:pt idx="10">
                  <c:v>1.37-1.47</c:v>
                </c:pt>
                <c:pt idx="11">
                  <c:v>1.47-1.57</c:v>
                </c:pt>
                <c:pt idx="12">
                  <c:v>1.67-1.77</c:v>
                </c:pt>
                <c:pt idx="13">
                  <c:v>1.77-1.87</c:v>
                </c:pt>
                <c:pt idx="14">
                  <c:v>1.87-1.97</c:v>
                </c:pt>
                <c:pt idx="15">
                  <c:v>1.97-2.07</c:v>
                </c:pt>
                <c:pt idx="16">
                  <c:v>2.07-2.17</c:v>
                </c:pt>
                <c:pt idx="17">
                  <c:v>2.17-2.27</c:v>
                </c:pt>
                <c:pt idx="18">
                  <c:v>2.27-2.37</c:v>
                </c:pt>
                <c:pt idx="19">
                  <c:v>2.37-2.47</c:v>
                </c:pt>
                <c:pt idx="20">
                  <c:v>2.47-2.57</c:v>
                </c:pt>
                <c:pt idx="21">
                  <c:v>2.57-2.67</c:v>
                </c:pt>
                <c:pt idx="22">
                  <c:v>2.67-2.77</c:v>
                </c:pt>
                <c:pt idx="23">
                  <c:v>2.77-2.87</c:v>
                </c:pt>
                <c:pt idx="24">
                  <c:v>2.87-2.97</c:v>
                </c:pt>
                <c:pt idx="25">
                  <c:v>2.97-3.07</c:v>
                </c:pt>
                <c:pt idx="26">
                  <c:v>3.07-3.17</c:v>
                </c:pt>
                <c:pt idx="27">
                  <c:v>3.17-3.27</c:v>
                </c:pt>
                <c:pt idx="28">
                  <c:v>3.37-3.47</c:v>
                </c:pt>
                <c:pt idx="29">
                  <c:v>3.47-3.57</c:v>
                </c:pt>
                <c:pt idx="30">
                  <c:v>3.57-3.67</c:v>
                </c:pt>
                <c:pt idx="31">
                  <c:v>3.67-3.77</c:v>
                </c:pt>
                <c:pt idx="32">
                  <c:v>3.77-3.87</c:v>
                </c:pt>
                <c:pt idx="33">
                  <c:v>3.87-3.97</c:v>
                </c:pt>
                <c:pt idx="34">
                  <c:v>3.97-4.07</c:v>
                </c:pt>
                <c:pt idx="35">
                  <c:v>4.07-4.17</c:v>
                </c:pt>
                <c:pt idx="36">
                  <c:v>4.17-4.27</c:v>
                </c:pt>
                <c:pt idx="37">
                  <c:v>4.27-4.37</c:v>
                </c:pt>
                <c:pt idx="38">
                  <c:v>4.37-4.47</c:v>
                </c:pt>
                <c:pt idx="39">
                  <c:v>4.47-4.57</c:v>
                </c:pt>
                <c:pt idx="40">
                  <c:v>4.57-4.67</c:v>
                </c:pt>
                <c:pt idx="41">
                  <c:v>4.67-4.77</c:v>
                </c:pt>
                <c:pt idx="42">
                  <c:v>4.77-4.87</c:v>
                </c:pt>
                <c:pt idx="43">
                  <c:v>4.87-4.97</c:v>
                </c:pt>
                <c:pt idx="44">
                  <c:v>4.97-5.07</c:v>
                </c:pt>
                <c:pt idx="45">
                  <c:v>5.07-5.17</c:v>
                </c:pt>
                <c:pt idx="46">
                  <c:v>5.27-5.37</c:v>
                </c:pt>
                <c:pt idx="47">
                  <c:v>5.37-5.47</c:v>
                </c:pt>
                <c:pt idx="48">
                  <c:v>5.47-5.57</c:v>
                </c:pt>
                <c:pt idx="49">
                  <c:v>5.57-5.67</c:v>
                </c:pt>
                <c:pt idx="50">
                  <c:v>5.67-5.77</c:v>
                </c:pt>
                <c:pt idx="51">
                  <c:v>5.77-5.87</c:v>
                </c:pt>
                <c:pt idx="52">
                  <c:v>5.87-5.97</c:v>
                </c:pt>
                <c:pt idx="53">
                  <c:v>5.97-6.07</c:v>
                </c:pt>
                <c:pt idx="54">
                  <c:v>6.07-6.17</c:v>
                </c:pt>
              </c:strCache>
            </c:strRef>
          </c:cat>
          <c:val>
            <c:numRef>
              <c:f>Histograms!$BD$4:$BD$59</c:f>
              <c:numCache>
                <c:formatCode>General</c:formatCode>
                <c:ptCount val="55"/>
                <c:pt idx="5">
                  <c:v>1</c:v>
                </c:pt>
                <c:pt idx="23">
                  <c:v>1</c:v>
                </c:pt>
              </c:numCache>
            </c:numRef>
          </c:val>
        </c:ser>
        <c:dLbls>
          <c:showLegendKey val="0"/>
          <c:showVal val="0"/>
          <c:showCatName val="0"/>
          <c:showSerName val="0"/>
          <c:showPercent val="0"/>
          <c:showBubbleSize val="0"/>
        </c:dLbls>
        <c:gapWidth val="150"/>
        <c:overlap val="100"/>
        <c:axId val="81081088"/>
        <c:axId val="81083008"/>
      </c:barChart>
      <c:catAx>
        <c:axId val="81081088"/>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en-US"/>
                  <a:t>Logpoint</a:t>
                </a:r>
              </a:p>
            </c:rich>
          </c:tx>
          <c:layout/>
          <c:overlay val="0"/>
        </c:title>
        <c:numFmt formatCode="General" sourceLinked="1"/>
        <c:majorTickMark val="out"/>
        <c:minorTickMark val="none"/>
        <c:tickLblPos val="nextTo"/>
        <c:txPr>
          <a:bodyPr rot="-5400000" vert="horz"/>
          <a:lstStyle/>
          <a:p>
            <a:pPr>
              <a:defRPr sz="1200" b="1" i="0" u="none" strike="noStrike" baseline="0">
                <a:solidFill>
                  <a:srgbClr val="000000"/>
                </a:solidFill>
                <a:latin typeface="Calibri"/>
                <a:ea typeface="Calibri"/>
                <a:cs typeface="Calibri"/>
              </a:defRPr>
            </a:pPr>
            <a:endParaRPr lang="en-US"/>
          </a:p>
        </c:txPr>
        <c:crossAx val="81083008"/>
        <c:crosses val="autoZero"/>
        <c:auto val="0"/>
        <c:lblAlgn val="ctr"/>
        <c:lblOffset val="100"/>
        <c:tickLblSkip val="1"/>
        <c:tickMarkSkip val="1"/>
        <c:noMultiLvlLbl val="0"/>
      </c:catAx>
      <c:valAx>
        <c:axId val="81083008"/>
        <c:scaling>
          <c:orientation val="minMax"/>
        </c:scaling>
        <c:delete val="0"/>
        <c:axPos val="l"/>
        <c:majorGridlines/>
        <c:title>
          <c:tx>
            <c:rich>
              <a:bodyPr/>
              <a:lstStyle/>
              <a:p>
                <a:pPr>
                  <a:defRPr sz="1200" b="1" i="0" u="none" strike="noStrike" baseline="0">
                    <a:solidFill>
                      <a:srgbClr val="000000"/>
                    </a:solidFill>
                    <a:latin typeface="Calibri"/>
                    <a:ea typeface="Calibri"/>
                    <a:cs typeface="Calibri"/>
                  </a:defRPr>
                </a:pPr>
                <a:r>
                  <a:rPr lang="en-US"/>
                  <a:t>Number of Crashes</a:t>
                </a:r>
              </a:p>
            </c:rich>
          </c:tx>
          <c:layout/>
          <c:overlay val="0"/>
        </c:title>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81081088"/>
        <c:crosses val="autoZero"/>
        <c:crossBetween val="between"/>
      </c:valAx>
    </c:plotArea>
    <c:legend>
      <c:legendPos val="r"/>
      <c:layout/>
      <c:overlay val="0"/>
      <c:txPr>
        <a:bodyPr/>
        <a:lstStyle/>
        <a:p>
          <a:pPr>
            <a:defRPr sz="85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pivotSource>
    <c:name>[SHE-CR-22_CAM_Tool_File.xls]Data Analysis!year1</c:name>
    <c:fmtId val="4"/>
  </c:pivotSource>
  <c:chart>
    <c:title>
      <c:tx>
        <c:rich>
          <a:bodyPr/>
          <a:lstStyle/>
          <a:p>
            <a:pPr>
              <a:defRPr sz="1680" b="1" i="0" u="none" strike="noStrike" baseline="0">
                <a:solidFill>
                  <a:srgbClr val="000000"/>
                </a:solidFill>
                <a:latin typeface="Calibri"/>
                <a:ea typeface="Calibri"/>
                <a:cs typeface="Calibri"/>
              </a:defRPr>
            </a:pPr>
            <a:r>
              <a:rPr lang="en-US"/>
              <a:t>Frequency of Crashes by Year</a:t>
            </a:r>
          </a:p>
        </c:rich>
      </c:tx>
      <c:layout/>
      <c:overlay val="0"/>
    </c:title>
    <c:autoTitleDeleted val="0"/>
    <c:pivotFmts>
      <c:pivotFmt>
        <c:idx val="0"/>
        <c:marker>
          <c:symbol val="none"/>
        </c:marker>
        <c:dLbl>
          <c:idx val="0"/>
          <c:spPr/>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dLbl>
      </c:pivotFmt>
      <c:pivotFmt>
        <c:idx val="1"/>
      </c:pivotFmt>
      <c:pivotFmt>
        <c:idx val="2"/>
      </c:pivotFmt>
      <c:pivotFmt>
        <c:idx val="3"/>
      </c:pivotFmt>
      <c:pivotFmt>
        <c:idx val="4"/>
      </c:pivotFmt>
      <c:pivotFmt>
        <c:idx val="5"/>
      </c:pivotFmt>
      <c:pivotFmt>
        <c:idx val="6"/>
      </c:pivotFmt>
      <c:pivotFmt>
        <c:idx val="7"/>
      </c:pivotFmt>
      <c:pivotFmt>
        <c:idx val="8"/>
        <c:marker>
          <c:symbol val="none"/>
        </c:marker>
        <c:dLbl>
          <c:idx val="0"/>
          <c:spPr/>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dLbl>
      </c:pivotFmt>
      <c:pivotFmt>
        <c:idx val="9"/>
      </c:pivotFmt>
      <c:pivotFmt>
        <c:idx val="10"/>
      </c:pivotFmt>
      <c:pivotFmt>
        <c:idx val="11"/>
      </c:pivotFmt>
      <c:pivotFmt>
        <c:idx val="12"/>
      </c:pivotFmt>
      <c:pivotFmt>
        <c:idx val="13"/>
      </c:pivotFmt>
      <c:pivotFmt>
        <c:idx val="14"/>
      </c:pivotFmt>
      <c:pivotFmt>
        <c:idx val="15"/>
      </c:pivotFmt>
      <c:pivotFmt>
        <c:idx val="16"/>
        <c:marker>
          <c:symbol val="none"/>
        </c:marker>
        <c:dLbl>
          <c:idx val="0"/>
          <c:spPr/>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dLbl>
      </c:pivotFmt>
    </c:pivotFmts>
    <c:view3D>
      <c:rotX val="45"/>
      <c:rotY val="0"/>
      <c:rAngAx val="0"/>
      <c:perspective val="0"/>
    </c:view3D>
    <c:floor>
      <c:thickness val="0"/>
    </c:floor>
    <c:sideWall>
      <c:thickness val="0"/>
    </c:sideWall>
    <c:backWall>
      <c:thickness val="0"/>
    </c:backWall>
    <c:plotArea>
      <c:layout/>
      <c:pie3DChart>
        <c:varyColors val="1"/>
        <c:ser>
          <c:idx val="0"/>
          <c:order val="0"/>
          <c:tx>
            <c:strRef>
              <c:f>'Data Analysis'!$G$9</c:f>
              <c:strCache>
                <c:ptCount val="1"/>
                <c:pt idx="0">
                  <c:v>Total</c:v>
                </c:pt>
              </c:strCache>
            </c:strRef>
          </c:tx>
          <c:dPt>
            <c:idx val="0"/>
            <c:bubble3D val="0"/>
          </c:dPt>
          <c:dPt>
            <c:idx val="1"/>
            <c:bubble3D val="0"/>
          </c:dPt>
          <c:dPt>
            <c:idx val="2"/>
            <c:bubble3D val="0"/>
          </c:dPt>
          <c:dPt>
            <c:idx val="3"/>
            <c:bubble3D val="0"/>
          </c:dPt>
          <c:dPt>
            <c:idx val="4"/>
            <c:bubble3D val="0"/>
          </c:dPt>
          <c:dPt>
            <c:idx val="5"/>
            <c:bubble3D val="0"/>
          </c:dPt>
          <c:dPt>
            <c:idx val="6"/>
            <c:bubble3D val="0"/>
          </c:dPt>
          <c:dLbls>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showLeaderLines val="1"/>
            <c:leaderLines>
              <c:spPr>
                <a:ln>
                  <a:solidFill>
                    <a:sysClr val="windowText" lastClr="000000"/>
                  </a:solidFill>
                </a:ln>
              </c:spPr>
            </c:leaderLines>
          </c:dLbls>
          <c:cat>
            <c:strRef>
              <c:f>'Data Analysis'!$F$10:$F$17</c:f>
              <c:strCache>
                <c:ptCount val="7"/>
                <c:pt idx="0">
                  <c:v>2006</c:v>
                </c:pt>
                <c:pt idx="1">
                  <c:v>2007</c:v>
                </c:pt>
                <c:pt idx="2">
                  <c:v>2008</c:v>
                </c:pt>
                <c:pt idx="3">
                  <c:v>2009</c:v>
                </c:pt>
                <c:pt idx="4">
                  <c:v>2010</c:v>
                </c:pt>
                <c:pt idx="5">
                  <c:v>2011</c:v>
                </c:pt>
                <c:pt idx="6">
                  <c:v>2012</c:v>
                </c:pt>
              </c:strCache>
            </c:strRef>
          </c:cat>
          <c:val>
            <c:numRef>
              <c:f>'Data Analysis'!$G$10:$G$17</c:f>
              <c:numCache>
                <c:formatCode>General</c:formatCode>
                <c:ptCount val="7"/>
                <c:pt idx="0">
                  <c:v>4</c:v>
                </c:pt>
                <c:pt idx="1">
                  <c:v>4</c:v>
                </c:pt>
                <c:pt idx="2">
                  <c:v>9</c:v>
                </c:pt>
                <c:pt idx="3">
                  <c:v>3</c:v>
                </c:pt>
                <c:pt idx="4">
                  <c:v>3</c:v>
                </c:pt>
                <c:pt idx="5">
                  <c:v>1</c:v>
                </c:pt>
                <c:pt idx="6">
                  <c:v>1</c:v>
                </c:pt>
              </c:numCache>
            </c:numRef>
          </c:val>
        </c:ser>
        <c:dLbls>
          <c:showLegendKey val="0"/>
          <c:showVal val="0"/>
          <c:showCatName val="0"/>
          <c:showSerName val="0"/>
          <c:showPercent val="0"/>
          <c:showBubbleSize val="0"/>
          <c:showLeaderLines val="1"/>
        </c:dLbls>
      </c:pie3DChart>
      <c:spPr>
        <a:noFill/>
        <a:ln w="25400">
          <a:noFill/>
        </a:ln>
      </c:spPr>
    </c:plotArea>
    <c:legend>
      <c:legendPos val="r"/>
      <c:layout/>
      <c:overlay val="0"/>
      <c:txPr>
        <a:bodyPr/>
        <a:lstStyle/>
        <a:p>
          <a:pPr>
            <a:defRPr sz="995" b="1" i="0" u="none" strike="noStrike" baseline="0">
              <a:solidFill>
                <a:srgbClr val="000000"/>
              </a:solidFill>
              <a:latin typeface="Calibri"/>
              <a:ea typeface="Calibri"/>
              <a:cs typeface="Calibri"/>
            </a:defRPr>
          </a:pPr>
          <a:endParaRPr lang="en-US"/>
        </a:p>
      </c:txPr>
    </c:legend>
    <c:plotVisOnly val="1"/>
    <c:dispBlanksAs val="zero"/>
    <c:showDLblsOverMax val="0"/>
  </c:chart>
  <c:spPr>
    <a:gradFill>
      <a:gsLst>
        <a:gs pos="24000">
          <a:sysClr val="window" lastClr="FFFFFF">
            <a:lumMod val="65000"/>
          </a:sysClr>
        </a:gs>
        <a:gs pos="100000">
          <a:srgbClr val="E6E6E6"/>
        </a:gs>
      </a:gsLst>
      <a:lin ang="16200000" scaled="0"/>
    </a:gradFill>
  </c:spPr>
  <c:txPr>
    <a:bodyPr/>
    <a:lstStyle/>
    <a:p>
      <a:pPr>
        <a:defRPr sz="14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pivotSource>
    <c:name>[SHE-CR-22_CAM_Tool_File.xls]Data Analysis!sevyear</c:name>
    <c:fmtId val="4"/>
  </c:pivotSource>
  <c:chart>
    <c:title>
      <c:tx>
        <c:rich>
          <a:bodyPr/>
          <a:lstStyle/>
          <a:p>
            <a:pPr>
              <a:defRPr sz="1440" b="1" i="0" u="none" strike="noStrike" baseline="0">
                <a:solidFill>
                  <a:srgbClr val="000000"/>
                </a:solidFill>
                <a:latin typeface="Calibri"/>
                <a:ea typeface="Calibri"/>
                <a:cs typeface="Calibri"/>
              </a:defRPr>
            </a:pPr>
            <a:r>
              <a:rPr lang="en-US"/>
              <a:t>Frequency of Crashes by Year and Severity</a:t>
            </a: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barChart>
        <c:barDir val="col"/>
        <c:grouping val="clustered"/>
        <c:varyColors val="0"/>
        <c:ser>
          <c:idx val="0"/>
          <c:order val="0"/>
          <c:tx>
            <c:strRef>
              <c:f>'Data Analysis'!$L$3:$L$4</c:f>
              <c:strCache>
                <c:ptCount val="1"/>
                <c:pt idx="0">
                  <c:v>Property Damage Crash</c:v>
                </c:pt>
              </c:strCache>
            </c:strRef>
          </c:tx>
          <c:invertIfNegative val="0"/>
          <c:cat>
            <c:strRef>
              <c:f>'Data Analysis'!$K$5:$K$12</c:f>
              <c:strCache>
                <c:ptCount val="7"/>
                <c:pt idx="0">
                  <c:v>2006</c:v>
                </c:pt>
                <c:pt idx="1">
                  <c:v>2007</c:v>
                </c:pt>
                <c:pt idx="2">
                  <c:v>2008</c:v>
                </c:pt>
                <c:pt idx="3">
                  <c:v>2009</c:v>
                </c:pt>
                <c:pt idx="4">
                  <c:v>2010</c:v>
                </c:pt>
                <c:pt idx="5">
                  <c:v>2011</c:v>
                </c:pt>
                <c:pt idx="6">
                  <c:v>2012</c:v>
                </c:pt>
              </c:strCache>
            </c:strRef>
          </c:cat>
          <c:val>
            <c:numRef>
              <c:f>'Data Analysis'!$L$5:$L$12</c:f>
              <c:numCache>
                <c:formatCode>General</c:formatCode>
                <c:ptCount val="7"/>
                <c:pt idx="0">
                  <c:v>3</c:v>
                </c:pt>
                <c:pt idx="1">
                  <c:v>3</c:v>
                </c:pt>
                <c:pt idx="2">
                  <c:v>7</c:v>
                </c:pt>
                <c:pt idx="3">
                  <c:v>2</c:v>
                </c:pt>
                <c:pt idx="4">
                  <c:v>2</c:v>
                </c:pt>
                <c:pt idx="5">
                  <c:v>0</c:v>
                </c:pt>
                <c:pt idx="6">
                  <c:v>1</c:v>
                </c:pt>
              </c:numCache>
            </c:numRef>
          </c:val>
        </c:ser>
        <c:ser>
          <c:idx val="1"/>
          <c:order val="1"/>
          <c:tx>
            <c:strRef>
              <c:f>'Data Analysis'!$M$3:$M$4</c:f>
              <c:strCache>
                <c:ptCount val="1"/>
                <c:pt idx="0">
                  <c:v>Injury Crash</c:v>
                </c:pt>
              </c:strCache>
            </c:strRef>
          </c:tx>
          <c:invertIfNegative val="0"/>
          <c:cat>
            <c:strRef>
              <c:f>'Data Analysis'!$K$5:$K$12</c:f>
              <c:strCache>
                <c:ptCount val="7"/>
                <c:pt idx="0">
                  <c:v>2006</c:v>
                </c:pt>
                <c:pt idx="1">
                  <c:v>2007</c:v>
                </c:pt>
                <c:pt idx="2">
                  <c:v>2008</c:v>
                </c:pt>
                <c:pt idx="3">
                  <c:v>2009</c:v>
                </c:pt>
                <c:pt idx="4">
                  <c:v>2010</c:v>
                </c:pt>
                <c:pt idx="5">
                  <c:v>2011</c:v>
                </c:pt>
                <c:pt idx="6">
                  <c:v>2012</c:v>
                </c:pt>
              </c:strCache>
            </c:strRef>
          </c:cat>
          <c:val>
            <c:numRef>
              <c:f>'Data Analysis'!$M$5:$M$12</c:f>
              <c:numCache>
                <c:formatCode>General</c:formatCode>
                <c:ptCount val="7"/>
                <c:pt idx="0">
                  <c:v>1</c:v>
                </c:pt>
                <c:pt idx="1">
                  <c:v>1</c:v>
                </c:pt>
                <c:pt idx="2">
                  <c:v>2</c:v>
                </c:pt>
                <c:pt idx="3">
                  <c:v>1</c:v>
                </c:pt>
                <c:pt idx="4">
                  <c:v>1</c:v>
                </c:pt>
                <c:pt idx="5">
                  <c:v>1</c:v>
                </c:pt>
                <c:pt idx="6">
                  <c:v>0</c:v>
                </c:pt>
              </c:numCache>
            </c:numRef>
          </c:val>
        </c:ser>
        <c:dLbls>
          <c:showLegendKey val="0"/>
          <c:showVal val="0"/>
          <c:showCatName val="0"/>
          <c:showSerName val="0"/>
          <c:showPercent val="0"/>
          <c:showBubbleSize val="0"/>
        </c:dLbls>
        <c:gapWidth val="150"/>
        <c:axId val="81219584"/>
        <c:axId val="81221120"/>
      </c:barChart>
      <c:catAx>
        <c:axId val="81219584"/>
        <c:scaling>
          <c:orientation val="minMax"/>
        </c:scaling>
        <c:delete val="0"/>
        <c:axPos val="b"/>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81221120"/>
        <c:crosses val="autoZero"/>
        <c:auto val="0"/>
        <c:lblAlgn val="ctr"/>
        <c:lblOffset val="200"/>
        <c:tickLblSkip val="1"/>
        <c:tickMarkSkip val="1"/>
        <c:noMultiLvlLbl val="0"/>
      </c:catAx>
      <c:valAx>
        <c:axId val="81221120"/>
        <c:scaling>
          <c:orientation val="minMax"/>
        </c:scaling>
        <c:delete val="0"/>
        <c:axPos val="l"/>
        <c:majorGridlines/>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81219584"/>
        <c:crosses val="autoZero"/>
        <c:crossBetween val="between"/>
      </c:valAx>
    </c:plotArea>
    <c:legend>
      <c:legendPos val="b"/>
      <c:layout/>
      <c:overlay val="0"/>
      <c:txPr>
        <a:bodyPr/>
        <a:lstStyle/>
        <a:p>
          <a:pPr>
            <a:defRPr sz="85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pivotSource>
    <c:name>[SHE-CR-22_CAM_Tool_File.xls]Data Analysis!hour1</c:name>
    <c:fmtId val="4"/>
  </c:pivotSource>
  <c:chart>
    <c:title>
      <c:tx>
        <c:rich>
          <a:bodyPr/>
          <a:lstStyle/>
          <a:p>
            <a:pPr>
              <a:defRPr sz="1440" b="1" i="0" u="none" strike="noStrike" baseline="0">
                <a:solidFill>
                  <a:srgbClr val="000000"/>
                </a:solidFill>
                <a:latin typeface="Calibri"/>
                <a:ea typeface="Calibri"/>
                <a:cs typeface="Calibri"/>
              </a:defRPr>
            </a:pPr>
            <a:r>
              <a:rPr lang="en-US"/>
              <a:t>Frequency of Crashes by Hour</a:t>
            </a:r>
          </a:p>
        </c:rich>
      </c:tx>
      <c:layout/>
      <c:overlay val="0"/>
    </c:title>
    <c:autoTitleDeleted val="0"/>
    <c:pivotFmts>
      <c:pivotFmt>
        <c:idx val="0"/>
        <c:marker>
          <c:symbol val="none"/>
        </c:marker>
      </c:pivotFmt>
      <c:pivotFmt>
        <c:idx val="1"/>
        <c:marker>
          <c:symbol val="none"/>
        </c:marker>
      </c:pivotFmt>
      <c:pivotFmt>
        <c:idx val="2"/>
        <c:marker>
          <c:symbol val="none"/>
        </c:marker>
      </c:pivotFmt>
    </c:pivotFmts>
    <c:plotArea>
      <c:layout/>
      <c:barChart>
        <c:barDir val="col"/>
        <c:grouping val="stacked"/>
        <c:varyColors val="0"/>
        <c:ser>
          <c:idx val="0"/>
          <c:order val="0"/>
          <c:tx>
            <c:strRef>
              <c:f>'Data Analysis'!$B$29</c:f>
              <c:strCache>
                <c:ptCount val="1"/>
                <c:pt idx="0">
                  <c:v>Total</c:v>
                </c:pt>
              </c:strCache>
            </c:strRef>
          </c:tx>
          <c:invertIfNegative val="0"/>
          <c:cat>
            <c:strRef>
              <c:f>'Data Analysis'!$A$30:$A$45</c:f>
              <c:strCache>
                <c:ptCount val="15"/>
                <c:pt idx="0">
                  <c:v>1</c:v>
                </c:pt>
                <c:pt idx="1">
                  <c:v>6</c:v>
                </c:pt>
                <c:pt idx="2">
                  <c:v>7</c:v>
                </c:pt>
                <c:pt idx="3">
                  <c:v>8</c:v>
                </c:pt>
                <c:pt idx="4">
                  <c:v>9</c:v>
                </c:pt>
                <c:pt idx="5">
                  <c:v>11</c:v>
                </c:pt>
                <c:pt idx="6">
                  <c:v>12</c:v>
                </c:pt>
                <c:pt idx="7">
                  <c:v>14</c:v>
                </c:pt>
                <c:pt idx="8">
                  <c:v>15</c:v>
                </c:pt>
                <c:pt idx="9">
                  <c:v>17</c:v>
                </c:pt>
                <c:pt idx="10">
                  <c:v>19</c:v>
                </c:pt>
                <c:pt idx="11">
                  <c:v>20</c:v>
                </c:pt>
                <c:pt idx="12">
                  <c:v>21</c:v>
                </c:pt>
                <c:pt idx="13">
                  <c:v>22</c:v>
                </c:pt>
                <c:pt idx="14">
                  <c:v>23</c:v>
                </c:pt>
              </c:strCache>
            </c:strRef>
          </c:cat>
          <c:val>
            <c:numRef>
              <c:f>'Data Analysis'!$B$30:$B$45</c:f>
              <c:numCache>
                <c:formatCode>General</c:formatCode>
                <c:ptCount val="15"/>
                <c:pt idx="0">
                  <c:v>1</c:v>
                </c:pt>
                <c:pt idx="1">
                  <c:v>2</c:v>
                </c:pt>
                <c:pt idx="2">
                  <c:v>5</c:v>
                </c:pt>
                <c:pt idx="3">
                  <c:v>1</c:v>
                </c:pt>
                <c:pt idx="4">
                  <c:v>1</c:v>
                </c:pt>
                <c:pt idx="5">
                  <c:v>1</c:v>
                </c:pt>
                <c:pt idx="6">
                  <c:v>1</c:v>
                </c:pt>
                <c:pt idx="7">
                  <c:v>1</c:v>
                </c:pt>
                <c:pt idx="8">
                  <c:v>1</c:v>
                </c:pt>
                <c:pt idx="9">
                  <c:v>1</c:v>
                </c:pt>
                <c:pt idx="10">
                  <c:v>2</c:v>
                </c:pt>
                <c:pt idx="11">
                  <c:v>1</c:v>
                </c:pt>
                <c:pt idx="12">
                  <c:v>3</c:v>
                </c:pt>
                <c:pt idx="13">
                  <c:v>1</c:v>
                </c:pt>
                <c:pt idx="14">
                  <c:v>3</c:v>
                </c:pt>
              </c:numCache>
            </c:numRef>
          </c:val>
        </c:ser>
        <c:dLbls>
          <c:showLegendKey val="0"/>
          <c:showVal val="0"/>
          <c:showCatName val="0"/>
          <c:showSerName val="0"/>
          <c:showPercent val="0"/>
          <c:showBubbleSize val="0"/>
        </c:dLbls>
        <c:gapWidth val="150"/>
        <c:overlap val="100"/>
        <c:axId val="81233408"/>
        <c:axId val="81234944"/>
      </c:barChart>
      <c:catAx>
        <c:axId val="81233408"/>
        <c:scaling>
          <c:orientation val="minMax"/>
        </c:scaling>
        <c:delete val="0"/>
        <c:axPos val="b"/>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81234944"/>
        <c:crosses val="autoZero"/>
        <c:auto val="0"/>
        <c:lblAlgn val="ctr"/>
        <c:lblOffset val="100"/>
        <c:tickLblSkip val="1"/>
        <c:tickMarkSkip val="1"/>
        <c:noMultiLvlLbl val="0"/>
      </c:catAx>
      <c:valAx>
        <c:axId val="81234944"/>
        <c:scaling>
          <c:orientation val="minMax"/>
        </c:scaling>
        <c:delete val="0"/>
        <c:axPos val="l"/>
        <c:majorGridlines/>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81233408"/>
        <c:crosses val="autoZero"/>
        <c:crossBetween val="between"/>
      </c:valAx>
      <c:spPr>
        <a:noFill/>
        <a:ln>
          <a:solidFill>
            <a:sysClr val="window" lastClr="FFFFFF">
              <a:lumMod val="50000"/>
            </a:sysClr>
          </a:solidFill>
        </a:ln>
      </c:spPr>
    </c:plotArea>
    <c:plotVisOnly val="1"/>
    <c:dispBlanksAs val="gap"/>
    <c:showDLblsOverMax val="0"/>
  </c:chart>
  <c:spPr>
    <a:solidFill>
      <a:sysClr val="window" lastClr="FFFFFF"/>
    </a:solidFill>
  </c:spPr>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pivotSource>
    <c:name>[SHE-CR-22_CAM_Tool_File.xls]Histograms!Logpoint_Severity</c:name>
    <c:fmtId val="4"/>
  </c:pivotSource>
  <c:chart>
    <c:title>
      <c:tx>
        <c:rich>
          <a:bodyPr/>
          <a:lstStyle/>
          <a:p>
            <a:pPr>
              <a:defRPr sz="1440" b="1" i="0" u="none" strike="noStrike" baseline="0">
                <a:solidFill>
                  <a:srgbClr val="000000"/>
                </a:solidFill>
                <a:latin typeface="Calibri"/>
                <a:ea typeface="Calibri"/>
                <a:cs typeface="Calibri"/>
              </a:defRPr>
            </a:pPr>
            <a:r>
              <a:rPr lang="en-US"/>
              <a:t>Location Frequency Chart by Severity</a:t>
            </a: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barChart>
        <c:barDir val="col"/>
        <c:grouping val="stacked"/>
        <c:varyColors val="0"/>
        <c:ser>
          <c:idx val="0"/>
          <c:order val="0"/>
          <c:tx>
            <c:strRef>
              <c:f>Histograms!$AK$2:$AK$3</c:f>
              <c:strCache>
                <c:ptCount val="1"/>
                <c:pt idx="0">
                  <c:v>Property Damage Crash</c:v>
                </c:pt>
              </c:strCache>
            </c:strRef>
          </c:tx>
          <c:invertIfNegative val="0"/>
          <c:cat>
            <c:strRef>
              <c:f>Histograms!$AJ$4:$AJ$17</c:f>
              <c:strCache>
                <c:ptCount val="13"/>
                <c:pt idx="0">
                  <c:v>12.59-12.69</c:v>
                </c:pt>
                <c:pt idx="1">
                  <c:v>12.69-12.79</c:v>
                </c:pt>
                <c:pt idx="2">
                  <c:v>12.99-13.09</c:v>
                </c:pt>
                <c:pt idx="3">
                  <c:v>13.39-13.49</c:v>
                </c:pt>
                <c:pt idx="4">
                  <c:v>13.69-13.79</c:v>
                </c:pt>
                <c:pt idx="5">
                  <c:v>14.09-14.19</c:v>
                </c:pt>
                <c:pt idx="6">
                  <c:v>14.39-14.49</c:v>
                </c:pt>
                <c:pt idx="7">
                  <c:v>14.49-14.59</c:v>
                </c:pt>
                <c:pt idx="8">
                  <c:v>14.59-14.69</c:v>
                </c:pt>
                <c:pt idx="9">
                  <c:v>14.69-14.79</c:v>
                </c:pt>
                <c:pt idx="10">
                  <c:v>14.89-14.99</c:v>
                </c:pt>
                <c:pt idx="11">
                  <c:v>14.99-15.09</c:v>
                </c:pt>
                <c:pt idx="12">
                  <c:v>15.39-15.49</c:v>
                </c:pt>
              </c:strCache>
            </c:strRef>
          </c:cat>
          <c:val>
            <c:numRef>
              <c:f>Histograms!$AK$4:$AK$17</c:f>
              <c:numCache>
                <c:formatCode>General</c:formatCode>
                <c:ptCount val="13"/>
                <c:pt idx="0">
                  <c:v>4</c:v>
                </c:pt>
                <c:pt idx="1">
                  <c:v>1</c:v>
                </c:pt>
                <c:pt idx="2">
                  <c:v>1</c:v>
                </c:pt>
                <c:pt idx="3">
                  <c:v>1</c:v>
                </c:pt>
                <c:pt idx="4">
                  <c:v>1</c:v>
                </c:pt>
                <c:pt idx="5">
                  <c:v>4</c:v>
                </c:pt>
                <c:pt idx="6">
                  <c:v>1</c:v>
                </c:pt>
                <c:pt idx="7">
                  <c:v>1</c:v>
                </c:pt>
                <c:pt idx="10">
                  <c:v>2</c:v>
                </c:pt>
                <c:pt idx="11">
                  <c:v>1</c:v>
                </c:pt>
                <c:pt idx="12">
                  <c:v>1</c:v>
                </c:pt>
              </c:numCache>
            </c:numRef>
          </c:val>
        </c:ser>
        <c:ser>
          <c:idx val="1"/>
          <c:order val="1"/>
          <c:tx>
            <c:strRef>
              <c:f>Histograms!$AL$2:$AL$3</c:f>
              <c:strCache>
                <c:ptCount val="1"/>
                <c:pt idx="0">
                  <c:v>Injury Crash</c:v>
                </c:pt>
              </c:strCache>
            </c:strRef>
          </c:tx>
          <c:invertIfNegative val="0"/>
          <c:cat>
            <c:strRef>
              <c:f>Histograms!$AJ$4:$AJ$17</c:f>
              <c:strCache>
                <c:ptCount val="13"/>
                <c:pt idx="0">
                  <c:v>12.59-12.69</c:v>
                </c:pt>
                <c:pt idx="1">
                  <c:v>12.69-12.79</c:v>
                </c:pt>
                <c:pt idx="2">
                  <c:v>12.99-13.09</c:v>
                </c:pt>
                <c:pt idx="3">
                  <c:v>13.39-13.49</c:v>
                </c:pt>
                <c:pt idx="4">
                  <c:v>13.69-13.79</c:v>
                </c:pt>
                <c:pt idx="5">
                  <c:v>14.09-14.19</c:v>
                </c:pt>
                <c:pt idx="6">
                  <c:v>14.39-14.49</c:v>
                </c:pt>
                <c:pt idx="7">
                  <c:v>14.49-14.59</c:v>
                </c:pt>
                <c:pt idx="8">
                  <c:v>14.59-14.69</c:v>
                </c:pt>
                <c:pt idx="9">
                  <c:v>14.69-14.79</c:v>
                </c:pt>
                <c:pt idx="10">
                  <c:v>14.89-14.99</c:v>
                </c:pt>
                <c:pt idx="11">
                  <c:v>14.99-15.09</c:v>
                </c:pt>
                <c:pt idx="12">
                  <c:v>15.39-15.49</c:v>
                </c:pt>
              </c:strCache>
            </c:strRef>
          </c:cat>
          <c:val>
            <c:numRef>
              <c:f>Histograms!$AL$4:$AL$17</c:f>
              <c:numCache>
                <c:formatCode>General</c:formatCode>
                <c:ptCount val="13"/>
                <c:pt idx="2">
                  <c:v>1</c:v>
                </c:pt>
                <c:pt idx="3">
                  <c:v>1</c:v>
                </c:pt>
                <c:pt idx="7">
                  <c:v>1</c:v>
                </c:pt>
                <c:pt idx="8">
                  <c:v>1</c:v>
                </c:pt>
                <c:pt idx="9">
                  <c:v>2</c:v>
                </c:pt>
                <c:pt idx="10">
                  <c:v>1</c:v>
                </c:pt>
              </c:numCache>
            </c:numRef>
          </c:val>
        </c:ser>
        <c:dLbls>
          <c:showLegendKey val="0"/>
          <c:showVal val="0"/>
          <c:showCatName val="0"/>
          <c:showSerName val="0"/>
          <c:showPercent val="0"/>
          <c:showBubbleSize val="0"/>
        </c:dLbls>
        <c:gapWidth val="150"/>
        <c:overlap val="100"/>
        <c:axId val="81268736"/>
        <c:axId val="81270656"/>
      </c:barChart>
      <c:catAx>
        <c:axId val="81268736"/>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en-US"/>
                  <a:t>Logpoint</a:t>
                </a:r>
              </a:p>
            </c:rich>
          </c:tx>
          <c:layout/>
          <c:overlay val="0"/>
        </c:title>
        <c:numFmt formatCode="General" sourceLinked="1"/>
        <c:majorTickMark val="out"/>
        <c:minorTickMark val="none"/>
        <c:tickLblPos val="nextTo"/>
        <c:txPr>
          <a:bodyPr rot="-5400000" vert="horz"/>
          <a:lstStyle/>
          <a:p>
            <a:pPr>
              <a:defRPr sz="1200" b="1" i="0" u="none" strike="noStrike" baseline="0">
                <a:solidFill>
                  <a:srgbClr val="000000"/>
                </a:solidFill>
                <a:latin typeface="Calibri"/>
                <a:ea typeface="Calibri"/>
                <a:cs typeface="Calibri"/>
              </a:defRPr>
            </a:pPr>
            <a:endParaRPr lang="en-US"/>
          </a:p>
        </c:txPr>
        <c:crossAx val="81270656"/>
        <c:crosses val="autoZero"/>
        <c:auto val="0"/>
        <c:lblAlgn val="ctr"/>
        <c:lblOffset val="100"/>
        <c:tickLblSkip val="1"/>
        <c:tickMarkSkip val="1"/>
        <c:noMultiLvlLbl val="0"/>
      </c:catAx>
      <c:valAx>
        <c:axId val="81270656"/>
        <c:scaling>
          <c:orientation val="minMax"/>
        </c:scaling>
        <c:delete val="0"/>
        <c:axPos val="l"/>
        <c:majorGridlines/>
        <c:title>
          <c:tx>
            <c:rich>
              <a:bodyPr/>
              <a:lstStyle/>
              <a:p>
                <a:pPr>
                  <a:defRPr sz="1200" b="1" i="0" u="none" strike="noStrike" baseline="0">
                    <a:solidFill>
                      <a:srgbClr val="000000"/>
                    </a:solidFill>
                    <a:latin typeface="Calibri"/>
                    <a:ea typeface="Calibri"/>
                    <a:cs typeface="Calibri"/>
                  </a:defRPr>
                </a:pPr>
                <a:r>
                  <a:rPr lang="en-US"/>
                  <a:t>Number of Crashes</a:t>
                </a:r>
              </a:p>
            </c:rich>
          </c:tx>
          <c:layout/>
          <c:overlay val="0"/>
        </c:title>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81268736"/>
        <c:crosses val="autoZero"/>
        <c:crossBetween val="between"/>
      </c:valAx>
    </c:plotArea>
    <c:legend>
      <c:legendPos val="b"/>
      <c:layout/>
      <c:overlay val="0"/>
      <c:txPr>
        <a:bodyPr/>
        <a:lstStyle/>
        <a:p>
          <a:pPr>
            <a:defRPr sz="85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pivotSource>
    <c:name>[SHE-CR-22_CAM_Tool_File.xls]Histograms!Crash_Type</c:name>
    <c:fmtId val="4"/>
  </c:pivotSource>
  <c:chart>
    <c:title>
      <c:tx>
        <c:rich>
          <a:bodyPr/>
          <a:lstStyle/>
          <a:p>
            <a:pPr>
              <a:defRPr sz="1440" b="1" i="0" u="none" strike="noStrike" baseline="0">
                <a:solidFill>
                  <a:srgbClr val="000000"/>
                </a:solidFill>
                <a:latin typeface="Calibri"/>
                <a:ea typeface="Calibri"/>
                <a:cs typeface="Calibri"/>
              </a:defRPr>
            </a:pPr>
            <a:r>
              <a:rPr lang="en-US"/>
              <a:t>Location Frequency Chart by Type of Crash</a:t>
            </a: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s>
    <c:plotArea>
      <c:layout/>
      <c:barChart>
        <c:barDir val="col"/>
        <c:grouping val="stacked"/>
        <c:varyColors val="0"/>
        <c:ser>
          <c:idx val="0"/>
          <c:order val="0"/>
          <c:tx>
            <c:strRef>
              <c:f>Histograms!$AP$2:$AP$3</c:f>
              <c:strCache>
                <c:ptCount val="1"/>
                <c:pt idx="0">
                  <c:v>Fixed Object</c:v>
                </c:pt>
              </c:strCache>
            </c:strRef>
          </c:tx>
          <c:invertIfNegative val="0"/>
          <c:cat>
            <c:strRef>
              <c:f>Histograms!$AO$4:$AO$17</c:f>
              <c:strCache>
                <c:ptCount val="13"/>
                <c:pt idx="0">
                  <c:v>12.59-12.69</c:v>
                </c:pt>
                <c:pt idx="1">
                  <c:v>12.69-12.79</c:v>
                </c:pt>
                <c:pt idx="2">
                  <c:v>12.99-13.09</c:v>
                </c:pt>
                <c:pt idx="3">
                  <c:v>13.39-13.49</c:v>
                </c:pt>
                <c:pt idx="4">
                  <c:v>13.69-13.79</c:v>
                </c:pt>
                <c:pt idx="5">
                  <c:v>14.09-14.19</c:v>
                </c:pt>
                <c:pt idx="6">
                  <c:v>14.39-14.49</c:v>
                </c:pt>
                <c:pt idx="7">
                  <c:v>14.49-14.59</c:v>
                </c:pt>
                <c:pt idx="8">
                  <c:v>14.59-14.69</c:v>
                </c:pt>
                <c:pt idx="9">
                  <c:v>14.69-14.79</c:v>
                </c:pt>
                <c:pt idx="10">
                  <c:v>14.89-14.99</c:v>
                </c:pt>
                <c:pt idx="11">
                  <c:v>14.99-15.09</c:v>
                </c:pt>
                <c:pt idx="12">
                  <c:v>15.39-15.49</c:v>
                </c:pt>
              </c:strCache>
            </c:strRef>
          </c:cat>
          <c:val>
            <c:numRef>
              <c:f>Histograms!$AP$4:$AP$17</c:f>
              <c:numCache>
                <c:formatCode>General</c:formatCode>
                <c:ptCount val="13"/>
                <c:pt idx="0">
                  <c:v>2</c:v>
                </c:pt>
                <c:pt idx="3">
                  <c:v>1</c:v>
                </c:pt>
                <c:pt idx="4">
                  <c:v>1</c:v>
                </c:pt>
                <c:pt idx="5">
                  <c:v>3</c:v>
                </c:pt>
                <c:pt idx="7">
                  <c:v>1</c:v>
                </c:pt>
                <c:pt idx="8">
                  <c:v>1</c:v>
                </c:pt>
                <c:pt idx="9">
                  <c:v>1</c:v>
                </c:pt>
                <c:pt idx="11">
                  <c:v>1</c:v>
                </c:pt>
                <c:pt idx="12">
                  <c:v>1</c:v>
                </c:pt>
              </c:numCache>
            </c:numRef>
          </c:val>
        </c:ser>
        <c:ser>
          <c:idx val="1"/>
          <c:order val="1"/>
          <c:tx>
            <c:strRef>
              <c:f>Histograms!$AQ$2:$AQ$3</c:f>
              <c:strCache>
                <c:ptCount val="1"/>
                <c:pt idx="0">
                  <c:v>Animal</c:v>
                </c:pt>
              </c:strCache>
            </c:strRef>
          </c:tx>
          <c:invertIfNegative val="0"/>
          <c:cat>
            <c:strRef>
              <c:f>Histograms!$AO$4:$AO$17</c:f>
              <c:strCache>
                <c:ptCount val="13"/>
                <c:pt idx="0">
                  <c:v>12.59-12.69</c:v>
                </c:pt>
                <c:pt idx="1">
                  <c:v>12.69-12.79</c:v>
                </c:pt>
                <c:pt idx="2">
                  <c:v>12.99-13.09</c:v>
                </c:pt>
                <c:pt idx="3">
                  <c:v>13.39-13.49</c:v>
                </c:pt>
                <c:pt idx="4">
                  <c:v>13.69-13.79</c:v>
                </c:pt>
                <c:pt idx="5">
                  <c:v>14.09-14.19</c:v>
                </c:pt>
                <c:pt idx="6">
                  <c:v>14.39-14.49</c:v>
                </c:pt>
                <c:pt idx="7">
                  <c:v>14.49-14.59</c:v>
                </c:pt>
                <c:pt idx="8">
                  <c:v>14.59-14.69</c:v>
                </c:pt>
                <c:pt idx="9">
                  <c:v>14.69-14.79</c:v>
                </c:pt>
                <c:pt idx="10">
                  <c:v>14.89-14.99</c:v>
                </c:pt>
                <c:pt idx="11">
                  <c:v>14.99-15.09</c:v>
                </c:pt>
                <c:pt idx="12">
                  <c:v>15.39-15.49</c:v>
                </c:pt>
              </c:strCache>
            </c:strRef>
          </c:cat>
          <c:val>
            <c:numRef>
              <c:f>Histograms!$AQ$4:$AQ$17</c:f>
              <c:numCache>
                <c:formatCode>General</c:formatCode>
                <c:ptCount val="13"/>
                <c:pt idx="0">
                  <c:v>2</c:v>
                </c:pt>
                <c:pt idx="1">
                  <c:v>1</c:v>
                </c:pt>
                <c:pt idx="2">
                  <c:v>1</c:v>
                </c:pt>
                <c:pt idx="3">
                  <c:v>1</c:v>
                </c:pt>
                <c:pt idx="5">
                  <c:v>1</c:v>
                </c:pt>
                <c:pt idx="7">
                  <c:v>1</c:v>
                </c:pt>
              </c:numCache>
            </c:numRef>
          </c:val>
        </c:ser>
        <c:ser>
          <c:idx val="2"/>
          <c:order val="2"/>
          <c:tx>
            <c:strRef>
              <c:f>Histograms!$AR$2:$AR$3</c:f>
              <c:strCache>
                <c:ptCount val="1"/>
                <c:pt idx="0">
                  <c:v>Overturning</c:v>
                </c:pt>
              </c:strCache>
            </c:strRef>
          </c:tx>
          <c:invertIfNegative val="0"/>
          <c:cat>
            <c:strRef>
              <c:f>Histograms!$AO$4:$AO$17</c:f>
              <c:strCache>
                <c:ptCount val="13"/>
                <c:pt idx="0">
                  <c:v>12.59-12.69</c:v>
                </c:pt>
                <c:pt idx="1">
                  <c:v>12.69-12.79</c:v>
                </c:pt>
                <c:pt idx="2">
                  <c:v>12.99-13.09</c:v>
                </c:pt>
                <c:pt idx="3">
                  <c:v>13.39-13.49</c:v>
                </c:pt>
                <c:pt idx="4">
                  <c:v>13.69-13.79</c:v>
                </c:pt>
                <c:pt idx="5">
                  <c:v>14.09-14.19</c:v>
                </c:pt>
                <c:pt idx="6">
                  <c:v>14.39-14.49</c:v>
                </c:pt>
                <c:pt idx="7">
                  <c:v>14.49-14.59</c:v>
                </c:pt>
                <c:pt idx="8">
                  <c:v>14.59-14.69</c:v>
                </c:pt>
                <c:pt idx="9">
                  <c:v>14.69-14.79</c:v>
                </c:pt>
                <c:pt idx="10">
                  <c:v>14.89-14.99</c:v>
                </c:pt>
                <c:pt idx="11">
                  <c:v>14.99-15.09</c:v>
                </c:pt>
                <c:pt idx="12">
                  <c:v>15.39-15.49</c:v>
                </c:pt>
              </c:strCache>
            </c:strRef>
          </c:cat>
          <c:val>
            <c:numRef>
              <c:f>Histograms!$AR$4:$AR$17</c:f>
              <c:numCache>
                <c:formatCode>General</c:formatCode>
                <c:ptCount val="13"/>
                <c:pt idx="9">
                  <c:v>1</c:v>
                </c:pt>
                <c:pt idx="10">
                  <c:v>1</c:v>
                </c:pt>
              </c:numCache>
            </c:numRef>
          </c:val>
        </c:ser>
        <c:ser>
          <c:idx val="3"/>
          <c:order val="3"/>
          <c:tx>
            <c:strRef>
              <c:f>Histograms!$AS$2:$AS$3</c:f>
              <c:strCache>
                <c:ptCount val="1"/>
                <c:pt idx="0">
                  <c:v>Angle</c:v>
                </c:pt>
              </c:strCache>
            </c:strRef>
          </c:tx>
          <c:invertIfNegative val="0"/>
          <c:cat>
            <c:strRef>
              <c:f>Histograms!$AO$4:$AO$17</c:f>
              <c:strCache>
                <c:ptCount val="13"/>
                <c:pt idx="0">
                  <c:v>12.59-12.69</c:v>
                </c:pt>
                <c:pt idx="1">
                  <c:v>12.69-12.79</c:v>
                </c:pt>
                <c:pt idx="2">
                  <c:v>12.99-13.09</c:v>
                </c:pt>
                <c:pt idx="3">
                  <c:v>13.39-13.49</c:v>
                </c:pt>
                <c:pt idx="4">
                  <c:v>13.69-13.79</c:v>
                </c:pt>
                <c:pt idx="5">
                  <c:v>14.09-14.19</c:v>
                </c:pt>
                <c:pt idx="6">
                  <c:v>14.39-14.49</c:v>
                </c:pt>
                <c:pt idx="7">
                  <c:v>14.49-14.59</c:v>
                </c:pt>
                <c:pt idx="8">
                  <c:v>14.59-14.69</c:v>
                </c:pt>
                <c:pt idx="9">
                  <c:v>14.69-14.79</c:v>
                </c:pt>
                <c:pt idx="10">
                  <c:v>14.89-14.99</c:v>
                </c:pt>
                <c:pt idx="11">
                  <c:v>14.99-15.09</c:v>
                </c:pt>
                <c:pt idx="12">
                  <c:v>15.39-15.49</c:v>
                </c:pt>
              </c:strCache>
            </c:strRef>
          </c:cat>
          <c:val>
            <c:numRef>
              <c:f>Histograms!$AS$4:$AS$17</c:f>
              <c:numCache>
                <c:formatCode>General</c:formatCode>
                <c:ptCount val="13"/>
                <c:pt idx="10">
                  <c:v>1</c:v>
                </c:pt>
              </c:numCache>
            </c:numRef>
          </c:val>
        </c:ser>
        <c:ser>
          <c:idx val="4"/>
          <c:order val="4"/>
          <c:tx>
            <c:strRef>
              <c:f>Histograms!$AT$2:$AT$3</c:f>
              <c:strCache>
                <c:ptCount val="1"/>
                <c:pt idx="0">
                  <c:v>Other Non-Collision</c:v>
                </c:pt>
              </c:strCache>
            </c:strRef>
          </c:tx>
          <c:invertIfNegative val="0"/>
          <c:cat>
            <c:strRef>
              <c:f>Histograms!$AO$4:$AO$17</c:f>
              <c:strCache>
                <c:ptCount val="13"/>
                <c:pt idx="0">
                  <c:v>12.59-12.69</c:v>
                </c:pt>
                <c:pt idx="1">
                  <c:v>12.69-12.79</c:v>
                </c:pt>
                <c:pt idx="2">
                  <c:v>12.99-13.09</c:v>
                </c:pt>
                <c:pt idx="3">
                  <c:v>13.39-13.49</c:v>
                </c:pt>
                <c:pt idx="4">
                  <c:v>13.69-13.79</c:v>
                </c:pt>
                <c:pt idx="5">
                  <c:v>14.09-14.19</c:v>
                </c:pt>
                <c:pt idx="6">
                  <c:v>14.39-14.49</c:v>
                </c:pt>
                <c:pt idx="7">
                  <c:v>14.49-14.59</c:v>
                </c:pt>
                <c:pt idx="8">
                  <c:v>14.59-14.69</c:v>
                </c:pt>
                <c:pt idx="9">
                  <c:v>14.69-14.79</c:v>
                </c:pt>
                <c:pt idx="10">
                  <c:v>14.89-14.99</c:v>
                </c:pt>
                <c:pt idx="11">
                  <c:v>14.99-15.09</c:v>
                </c:pt>
                <c:pt idx="12">
                  <c:v>15.39-15.49</c:v>
                </c:pt>
              </c:strCache>
            </c:strRef>
          </c:cat>
          <c:val>
            <c:numRef>
              <c:f>Histograms!$AT$4:$AT$17</c:f>
              <c:numCache>
                <c:formatCode>General</c:formatCode>
                <c:ptCount val="13"/>
                <c:pt idx="10">
                  <c:v>1</c:v>
                </c:pt>
              </c:numCache>
            </c:numRef>
          </c:val>
        </c:ser>
        <c:ser>
          <c:idx val="5"/>
          <c:order val="5"/>
          <c:tx>
            <c:strRef>
              <c:f>Histograms!$AU$2:$AU$3</c:f>
              <c:strCache>
                <c:ptCount val="1"/>
                <c:pt idx="0">
                  <c:v>Head On</c:v>
                </c:pt>
              </c:strCache>
            </c:strRef>
          </c:tx>
          <c:invertIfNegative val="0"/>
          <c:cat>
            <c:strRef>
              <c:f>Histograms!$AO$4:$AO$17</c:f>
              <c:strCache>
                <c:ptCount val="13"/>
                <c:pt idx="0">
                  <c:v>12.59-12.69</c:v>
                </c:pt>
                <c:pt idx="1">
                  <c:v>12.69-12.79</c:v>
                </c:pt>
                <c:pt idx="2">
                  <c:v>12.99-13.09</c:v>
                </c:pt>
                <c:pt idx="3">
                  <c:v>13.39-13.49</c:v>
                </c:pt>
                <c:pt idx="4">
                  <c:v>13.69-13.79</c:v>
                </c:pt>
                <c:pt idx="5">
                  <c:v>14.09-14.19</c:v>
                </c:pt>
                <c:pt idx="6">
                  <c:v>14.39-14.49</c:v>
                </c:pt>
                <c:pt idx="7">
                  <c:v>14.49-14.59</c:v>
                </c:pt>
                <c:pt idx="8">
                  <c:v>14.59-14.69</c:v>
                </c:pt>
                <c:pt idx="9">
                  <c:v>14.69-14.79</c:v>
                </c:pt>
                <c:pt idx="10">
                  <c:v>14.89-14.99</c:v>
                </c:pt>
                <c:pt idx="11">
                  <c:v>14.99-15.09</c:v>
                </c:pt>
                <c:pt idx="12">
                  <c:v>15.39-15.49</c:v>
                </c:pt>
              </c:strCache>
            </c:strRef>
          </c:cat>
          <c:val>
            <c:numRef>
              <c:f>Histograms!$AU$4:$AU$17</c:f>
              <c:numCache>
                <c:formatCode>General</c:formatCode>
                <c:ptCount val="13"/>
                <c:pt idx="2">
                  <c:v>1</c:v>
                </c:pt>
              </c:numCache>
            </c:numRef>
          </c:val>
        </c:ser>
        <c:ser>
          <c:idx val="6"/>
          <c:order val="6"/>
          <c:tx>
            <c:strRef>
              <c:f>Histograms!$AV$2:$AV$3</c:f>
              <c:strCache>
                <c:ptCount val="1"/>
                <c:pt idx="0">
                  <c:v>Sideswipe - Meeting</c:v>
                </c:pt>
              </c:strCache>
            </c:strRef>
          </c:tx>
          <c:invertIfNegative val="0"/>
          <c:cat>
            <c:strRef>
              <c:f>Histograms!$AO$4:$AO$17</c:f>
              <c:strCache>
                <c:ptCount val="13"/>
                <c:pt idx="0">
                  <c:v>12.59-12.69</c:v>
                </c:pt>
                <c:pt idx="1">
                  <c:v>12.69-12.79</c:v>
                </c:pt>
                <c:pt idx="2">
                  <c:v>12.99-13.09</c:v>
                </c:pt>
                <c:pt idx="3">
                  <c:v>13.39-13.49</c:v>
                </c:pt>
                <c:pt idx="4">
                  <c:v>13.69-13.79</c:v>
                </c:pt>
                <c:pt idx="5">
                  <c:v>14.09-14.19</c:v>
                </c:pt>
                <c:pt idx="6">
                  <c:v>14.39-14.49</c:v>
                </c:pt>
                <c:pt idx="7">
                  <c:v>14.49-14.59</c:v>
                </c:pt>
                <c:pt idx="8">
                  <c:v>14.59-14.69</c:v>
                </c:pt>
                <c:pt idx="9">
                  <c:v>14.69-14.79</c:v>
                </c:pt>
                <c:pt idx="10">
                  <c:v>14.89-14.99</c:v>
                </c:pt>
                <c:pt idx="11">
                  <c:v>14.99-15.09</c:v>
                </c:pt>
                <c:pt idx="12">
                  <c:v>15.39-15.49</c:v>
                </c:pt>
              </c:strCache>
            </c:strRef>
          </c:cat>
          <c:val>
            <c:numRef>
              <c:f>Histograms!$AV$4:$AV$17</c:f>
              <c:numCache>
                <c:formatCode>General</c:formatCode>
                <c:ptCount val="13"/>
                <c:pt idx="6">
                  <c:v>1</c:v>
                </c:pt>
              </c:numCache>
            </c:numRef>
          </c:val>
        </c:ser>
        <c:dLbls>
          <c:showLegendKey val="0"/>
          <c:showVal val="0"/>
          <c:showCatName val="0"/>
          <c:showSerName val="0"/>
          <c:showPercent val="0"/>
          <c:showBubbleSize val="0"/>
        </c:dLbls>
        <c:gapWidth val="150"/>
        <c:overlap val="100"/>
        <c:axId val="211164160"/>
        <c:axId val="211166336"/>
      </c:barChart>
      <c:catAx>
        <c:axId val="211164160"/>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en-US"/>
                  <a:t>Logpoint</a:t>
                </a:r>
              </a:p>
            </c:rich>
          </c:tx>
          <c:layout/>
          <c:overlay val="0"/>
        </c:title>
        <c:numFmt formatCode="General" sourceLinked="1"/>
        <c:majorTickMark val="out"/>
        <c:minorTickMark val="none"/>
        <c:tickLblPos val="nextTo"/>
        <c:txPr>
          <a:bodyPr rot="-5400000" vert="horz"/>
          <a:lstStyle/>
          <a:p>
            <a:pPr>
              <a:defRPr sz="1200" b="1" i="0" u="none" strike="noStrike" baseline="0">
                <a:solidFill>
                  <a:srgbClr val="000000"/>
                </a:solidFill>
                <a:latin typeface="Calibri"/>
                <a:ea typeface="Calibri"/>
                <a:cs typeface="Calibri"/>
              </a:defRPr>
            </a:pPr>
            <a:endParaRPr lang="en-US"/>
          </a:p>
        </c:txPr>
        <c:crossAx val="211166336"/>
        <c:crosses val="autoZero"/>
        <c:auto val="0"/>
        <c:lblAlgn val="ctr"/>
        <c:lblOffset val="100"/>
        <c:tickLblSkip val="1"/>
        <c:tickMarkSkip val="1"/>
        <c:noMultiLvlLbl val="0"/>
      </c:catAx>
      <c:valAx>
        <c:axId val="211166336"/>
        <c:scaling>
          <c:orientation val="minMax"/>
        </c:scaling>
        <c:delete val="0"/>
        <c:axPos val="l"/>
        <c:majorGridlines/>
        <c:title>
          <c:tx>
            <c:rich>
              <a:bodyPr/>
              <a:lstStyle/>
              <a:p>
                <a:pPr>
                  <a:defRPr sz="1200" b="1" i="0" u="none" strike="noStrike" baseline="0">
                    <a:solidFill>
                      <a:srgbClr val="000000"/>
                    </a:solidFill>
                    <a:latin typeface="Calibri"/>
                    <a:ea typeface="Calibri"/>
                    <a:cs typeface="Calibri"/>
                  </a:defRPr>
                </a:pPr>
                <a:r>
                  <a:rPr lang="en-US"/>
                  <a:t>Number of Crashes</a:t>
                </a:r>
              </a:p>
            </c:rich>
          </c:tx>
          <c:layout/>
          <c:overlay val="0"/>
        </c:title>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211164160"/>
        <c:crosses val="autoZero"/>
        <c:crossBetween val="between"/>
      </c:valAx>
    </c:plotArea>
    <c:legend>
      <c:legendPos val="r"/>
      <c:layout/>
      <c:overlay val="0"/>
      <c:txPr>
        <a:bodyPr/>
        <a:lstStyle/>
        <a:p>
          <a:pPr>
            <a:defRPr sz="85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pivotSource>
    <c:name>[CAM Tool Excel 2002-2003.xls]Data Analysis!hour1</c:name>
    <c:fmtId val="-1"/>
  </c:pivotSource>
  <c:chart>
    <c:title>
      <c:tx>
        <c:rich>
          <a:bodyPr/>
          <a:lstStyle/>
          <a:p>
            <a:pPr>
              <a:defRPr sz="1440" b="1" i="0" u="none" strike="noStrike" baseline="0">
                <a:solidFill>
                  <a:srgbClr val="000000"/>
                </a:solidFill>
                <a:latin typeface="Calibri"/>
                <a:ea typeface="Calibri"/>
                <a:cs typeface="Calibri"/>
              </a:defRPr>
            </a:pPr>
            <a:r>
              <a:rPr lang="en-US"/>
              <a:t>Frequency of Crashes by Hour</a:t>
            </a:r>
          </a:p>
        </c:rich>
      </c:tx>
      <c:layout/>
      <c:overlay val="0"/>
    </c:title>
    <c:autoTitleDeleted val="0"/>
    <c:pivotFmts>
      <c:pivotFmt>
        <c:idx val="0"/>
        <c:marker>
          <c:symbol val="none"/>
        </c:marker>
      </c:pivotFmt>
      <c:pivotFmt>
        <c:idx val="1"/>
        <c:marker>
          <c:symbol val="none"/>
        </c:marker>
      </c:pivotFmt>
      <c:pivotFmt>
        <c:idx val="2"/>
        <c:marker>
          <c:symbol val="none"/>
        </c:marker>
      </c:pivotFmt>
    </c:pivotFmts>
    <c:plotArea>
      <c:layout/>
      <c:barChart>
        <c:barDir val="col"/>
        <c:grouping val="stacked"/>
        <c:varyColors val="0"/>
        <c:ser>
          <c:idx val="0"/>
          <c:order val="0"/>
          <c:tx>
            <c:strRef>
              <c:f>'Data Analysis'!$B$29</c:f>
              <c:strCache>
                <c:ptCount val="1"/>
                <c:pt idx="0">
                  <c:v>Total</c:v>
                </c:pt>
              </c:strCache>
            </c:strRef>
          </c:tx>
          <c:invertIfNegative val="0"/>
          <c:cat>
            <c:strRef>
              <c:f>'Data Analysis'!$A$30:$A$42</c:f>
              <c:strCache>
                <c:ptCount val="12"/>
                <c:pt idx="0">
                  <c:v>0</c:v>
                </c:pt>
                <c:pt idx="1">
                  <c:v>4</c:v>
                </c:pt>
                <c:pt idx="2">
                  <c:v>6</c:v>
                </c:pt>
                <c:pt idx="3">
                  <c:v>7</c:v>
                </c:pt>
                <c:pt idx="4">
                  <c:v>14</c:v>
                </c:pt>
                <c:pt idx="5">
                  <c:v>15</c:v>
                </c:pt>
                <c:pt idx="6">
                  <c:v>16</c:v>
                </c:pt>
                <c:pt idx="7">
                  <c:v>17</c:v>
                </c:pt>
                <c:pt idx="8">
                  <c:v>18</c:v>
                </c:pt>
                <c:pt idx="9">
                  <c:v>19</c:v>
                </c:pt>
                <c:pt idx="10">
                  <c:v>21</c:v>
                </c:pt>
                <c:pt idx="11">
                  <c:v>23</c:v>
                </c:pt>
              </c:strCache>
            </c:strRef>
          </c:cat>
          <c:val>
            <c:numRef>
              <c:f>'Data Analysis'!$B$30:$B$42</c:f>
              <c:numCache>
                <c:formatCode>General</c:formatCode>
                <c:ptCount val="12"/>
                <c:pt idx="0">
                  <c:v>1</c:v>
                </c:pt>
                <c:pt idx="1">
                  <c:v>1</c:v>
                </c:pt>
                <c:pt idx="2">
                  <c:v>1</c:v>
                </c:pt>
                <c:pt idx="3">
                  <c:v>1</c:v>
                </c:pt>
                <c:pt idx="4">
                  <c:v>1</c:v>
                </c:pt>
                <c:pt idx="5">
                  <c:v>1</c:v>
                </c:pt>
                <c:pt idx="6">
                  <c:v>1</c:v>
                </c:pt>
                <c:pt idx="7">
                  <c:v>2</c:v>
                </c:pt>
                <c:pt idx="8">
                  <c:v>6</c:v>
                </c:pt>
                <c:pt idx="9">
                  <c:v>1</c:v>
                </c:pt>
                <c:pt idx="10">
                  <c:v>2</c:v>
                </c:pt>
                <c:pt idx="11">
                  <c:v>1</c:v>
                </c:pt>
              </c:numCache>
            </c:numRef>
          </c:val>
        </c:ser>
        <c:dLbls>
          <c:showLegendKey val="0"/>
          <c:showVal val="0"/>
          <c:showCatName val="0"/>
          <c:showSerName val="0"/>
          <c:showPercent val="0"/>
          <c:showBubbleSize val="0"/>
        </c:dLbls>
        <c:gapWidth val="150"/>
        <c:overlap val="100"/>
        <c:axId val="171088512"/>
        <c:axId val="171102592"/>
      </c:barChart>
      <c:catAx>
        <c:axId val="171088512"/>
        <c:scaling>
          <c:orientation val="minMax"/>
        </c:scaling>
        <c:delete val="0"/>
        <c:axPos val="b"/>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171102592"/>
        <c:crosses val="autoZero"/>
        <c:auto val="0"/>
        <c:lblAlgn val="ctr"/>
        <c:lblOffset val="100"/>
        <c:tickLblSkip val="1"/>
        <c:tickMarkSkip val="1"/>
        <c:noMultiLvlLbl val="0"/>
      </c:catAx>
      <c:valAx>
        <c:axId val="171102592"/>
        <c:scaling>
          <c:orientation val="minMax"/>
        </c:scaling>
        <c:delete val="0"/>
        <c:axPos val="l"/>
        <c:majorGridlines/>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171088512"/>
        <c:crosses val="autoZero"/>
        <c:crossBetween val="between"/>
      </c:valAx>
      <c:spPr>
        <a:noFill/>
        <a:ln>
          <a:solidFill>
            <a:sysClr val="window" lastClr="FFFFFF">
              <a:lumMod val="50000"/>
            </a:sysClr>
          </a:solidFill>
        </a:ln>
      </c:spPr>
    </c:plotArea>
    <c:plotVisOnly val="1"/>
    <c:dispBlanksAs val="gap"/>
    <c:showDLblsOverMax val="0"/>
  </c:chart>
  <c:spPr>
    <a:solidFill>
      <a:sysClr val="window" lastClr="FFFFFF"/>
    </a:solidFill>
  </c:spPr>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pivotSource>
    <c:name>[SHE-CR-45_CAM_Tool_File.xls]Histograms!Logpoint_Severity</c:name>
    <c:fmtId val="4"/>
  </c:pivotSource>
  <c:chart>
    <c:title>
      <c:tx>
        <c:rich>
          <a:bodyPr/>
          <a:lstStyle/>
          <a:p>
            <a:pPr>
              <a:defRPr sz="1440" b="1" i="0" u="none" strike="noStrike" baseline="0">
                <a:solidFill>
                  <a:srgbClr val="000000"/>
                </a:solidFill>
                <a:latin typeface="Calibri"/>
                <a:ea typeface="Calibri"/>
                <a:cs typeface="Calibri"/>
              </a:defRPr>
            </a:pPr>
            <a:r>
              <a:rPr lang="en-US"/>
              <a:t>Location Frequency Chart by Severity</a:t>
            </a: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stacked"/>
        <c:varyColors val="0"/>
        <c:ser>
          <c:idx val="0"/>
          <c:order val="0"/>
          <c:tx>
            <c:strRef>
              <c:f>Histograms!$AK$2:$AK$3</c:f>
              <c:strCache>
                <c:ptCount val="1"/>
                <c:pt idx="0">
                  <c:v>Property Damage Crash</c:v>
                </c:pt>
              </c:strCache>
            </c:strRef>
          </c:tx>
          <c:invertIfNegative val="0"/>
          <c:cat>
            <c:strRef>
              <c:f>Histograms!$AJ$4:$AJ$10</c:f>
              <c:strCache>
                <c:ptCount val="6"/>
                <c:pt idx="0">
                  <c:v>11.23-11.33</c:v>
                </c:pt>
                <c:pt idx="1">
                  <c:v>11.33-11.43</c:v>
                </c:pt>
                <c:pt idx="2">
                  <c:v>11.43-11.53</c:v>
                </c:pt>
                <c:pt idx="3">
                  <c:v>11.53-11.63</c:v>
                </c:pt>
                <c:pt idx="4">
                  <c:v>11.63-11.73</c:v>
                </c:pt>
                <c:pt idx="5">
                  <c:v>11.83-11.93</c:v>
                </c:pt>
              </c:strCache>
            </c:strRef>
          </c:cat>
          <c:val>
            <c:numRef>
              <c:f>Histograms!$AK$4:$AK$10</c:f>
              <c:numCache>
                <c:formatCode>General</c:formatCode>
                <c:ptCount val="6"/>
                <c:pt idx="0">
                  <c:v>1</c:v>
                </c:pt>
                <c:pt idx="1">
                  <c:v>2</c:v>
                </c:pt>
                <c:pt idx="2">
                  <c:v>4</c:v>
                </c:pt>
                <c:pt idx="3">
                  <c:v>1</c:v>
                </c:pt>
                <c:pt idx="4">
                  <c:v>3</c:v>
                </c:pt>
                <c:pt idx="5">
                  <c:v>2</c:v>
                </c:pt>
              </c:numCache>
            </c:numRef>
          </c:val>
        </c:ser>
        <c:ser>
          <c:idx val="1"/>
          <c:order val="1"/>
          <c:tx>
            <c:strRef>
              <c:f>Histograms!$AL$2:$AL$3</c:f>
              <c:strCache>
                <c:ptCount val="1"/>
                <c:pt idx="0">
                  <c:v>Injury Crash</c:v>
                </c:pt>
              </c:strCache>
            </c:strRef>
          </c:tx>
          <c:invertIfNegative val="0"/>
          <c:cat>
            <c:strRef>
              <c:f>Histograms!$AJ$4:$AJ$10</c:f>
              <c:strCache>
                <c:ptCount val="6"/>
                <c:pt idx="0">
                  <c:v>11.23-11.33</c:v>
                </c:pt>
                <c:pt idx="1">
                  <c:v>11.33-11.43</c:v>
                </c:pt>
                <c:pt idx="2">
                  <c:v>11.43-11.53</c:v>
                </c:pt>
                <c:pt idx="3">
                  <c:v>11.53-11.63</c:v>
                </c:pt>
                <c:pt idx="4">
                  <c:v>11.63-11.73</c:v>
                </c:pt>
                <c:pt idx="5">
                  <c:v>11.83-11.93</c:v>
                </c:pt>
              </c:strCache>
            </c:strRef>
          </c:cat>
          <c:val>
            <c:numRef>
              <c:f>Histograms!$AL$4:$AL$10</c:f>
              <c:numCache>
                <c:formatCode>General</c:formatCode>
                <c:ptCount val="6"/>
                <c:pt idx="4">
                  <c:v>5</c:v>
                </c:pt>
              </c:numCache>
            </c:numRef>
          </c:val>
        </c:ser>
        <c:ser>
          <c:idx val="2"/>
          <c:order val="2"/>
          <c:tx>
            <c:strRef>
              <c:f>Histograms!$AM$2:$AM$3</c:f>
              <c:strCache>
                <c:ptCount val="1"/>
                <c:pt idx="0">
                  <c:v>Fatal Crash</c:v>
                </c:pt>
              </c:strCache>
            </c:strRef>
          </c:tx>
          <c:invertIfNegative val="0"/>
          <c:cat>
            <c:strRef>
              <c:f>Histograms!$AJ$4:$AJ$10</c:f>
              <c:strCache>
                <c:ptCount val="6"/>
                <c:pt idx="0">
                  <c:v>11.23-11.33</c:v>
                </c:pt>
                <c:pt idx="1">
                  <c:v>11.33-11.43</c:v>
                </c:pt>
                <c:pt idx="2">
                  <c:v>11.43-11.53</c:v>
                </c:pt>
                <c:pt idx="3">
                  <c:v>11.53-11.63</c:v>
                </c:pt>
                <c:pt idx="4">
                  <c:v>11.63-11.73</c:v>
                </c:pt>
                <c:pt idx="5">
                  <c:v>11.83-11.93</c:v>
                </c:pt>
              </c:strCache>
            </c:strRef>
          </c:cat>
          <c:val>
            <c:numRef>
              <c:f>Histograms!$AM$4:$AM$10</c:f>
              <c:numCache>
                <c:formatCode>General</c:formatCode>
                <c:ptCount val="6"/>
                <c:pt idx="4">
                  <c:v>1</c:v>
                </c:pt>
              </c:numCache>
            </c:numRef>
          </c:val>
        </c:ser>
        <c:dLbls>
          <c:showLegendKey val="0"/>
          <c:showVal val="0"/>
          <c:showCatName val="0"/>
          <c:showSerName val="0"/>
          <c:showPercent val="0"/>
          <c:showBubbleSize val="0"/>
        </c:dLbls>
        <c:gapWidth val="150"/>
        <c:overlap val="100"/>
        <c:axId val="228464128"/>
        <c:axId val="228466048"/>
      </c:barChart>
      <c:catAx>
        <c:axId val="228464128"/>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en-US"/>
                  <a:t>Logpoint</a:t>
                </a:r>
              </a:p>
            </c:rich>
          </c:tx>
          <c:layout/>
          <c:overlay val="0"/>
        </c:title>
        <c:numFmt formatCode="General" sourceLinked="1"/>
        <c:majorTickMark val="out"/>
        <c:minorTickMark val="none"/>
        <c:tickLblPos val="nextTo"/>
        <c:txPr>
          <a:bodyPr rot="-5400000" vert="horz"/>
          <a:lstStyle/>
          <a:p>
            <a:pPr>
              <a:defRPr sz="1200" b="1" i="0" u="none" strike="noStrike" baseline="0">
                <a:solidFill>
                  <a:srgbClr val="000000"/>
                </a:solidFill>
                <a:latin typeface="Calibri"/>
                <a:ea typeface="Calibri"/>
                <a:cs typeface="Calibri"/>
              </a:defRPr>
            </a:pPr>
            <a:endParaRPr lang="en-US"/>
          </a:p>
        </c:txPr>
        <c:crossAx val="228466048"/>
        <c:crosses val="autoZero"/>
        <c:auto val="0"/>
        <c:lblAlgn val="ctr"/>
        <c:lblOffset val="100"/>
        <c:tickLblSkip val="1"/>
        <c:tickMarkSkip val="1"/>
        <c:noMultiLvlLbl val="0"/>
      </c:catAx>
      <c:valAx>
        <c:axId val="228466048"/>
        <c:scaling>
          <c:orientation val="minMax"/>
        </c:scaling>
        <c:delete val="0"/>
        <c:axPos val="l"/>
        <c:majorGridlines/>
        <c:title>
          <c:tx>
            <c:rich>
              <a:bodyPr/>
              <a:lstStyle/>
              <a:p>
                <a:pPr>
                  <a:defRPr sz="1200" b="1" i="0" u="none" strike="noStrike" baseline="0">
                    <a:solidFill>
                      <a:srgbClr val="000000"/>
                    </a:solidFill>
                    <a:latin typeface="Calibri"/>
                    <a:ea typeface="Calibri"/>
                    <a:cs typeface="Calibri"/>
                  </a:defRPr>
                </a:pPr>
                <a:r>
                  <a:rPr lang="en-US"/>
                  <a:t>Number of Crashes</a:t>
                </a:r>
              </a:p>
            </c:rich>
          </c:tx>
          <c:layout/>
          <c:overlay val="0"/>
        </c:title>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228464128"/>
        <c:crosses val="autoZero"/>
        <c:crossBetween val="between"/>
      </c:valAx>
    </c:plotArea>
    <c:legend>
      <c:legendPos val="b"/>
      <c:layout/>
      <c:overlay val="0"/>
      <c:txPr>
        <a:bodyPr/>
        <a:lstStyle/>
        <a:p>
          <a:pPr>
            <a:defRPr sz="85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pivotSource>
    <c:name>[SHE-CR-45_CAM_Tool_File.xls]Histograms!Crash_Type</c:name>
    <c:fmtId val="4"/>
  </c:pivotSource>
  <c:chart>
    <c:title>
      <c:tx>
        <c:rich>
          <a:bodyPr/>
          <a:lstStyle/>
          <a:p>
            <a:pPr>
              <a:defRPr sz="1440" b="1" i="0" u="none" strike="noStrike" baseline="0">
                <a:solidFill>
                  <a:srgbClr val="000000"/>
                </a:solidFill>
                <a:latin typeface="Calibri"/>
                <a:ea typeface="Calibri"/>
                <a:cs typeface="Calibri"/>
              </a:defRPr>
            </a:pPr>
            <a:r>
              <a:rPr lang="en-US"/>
              <a:t>Location Frequency Chart by Type of Crash</a:t>
            </a: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plotArea>
      <c:layout/>
      <c:barChart>
        <c:barDir val="col"/>
        <c:grouping val="stacked"/>
        <c:varyColors val="0"/>
        <c:ser>
          <c:idx val="0"/>
          <c:order val="0"/>
          <c:tx>
            <c:strRef>
              <c:f>Histograms!$AP$2:$AP$3</c:f>
              <c:strCache>
                <c:ptCount val="1"/>
                <c:pt idx="0">
                  <c:v>Animal</c:v>
                </c:pt>
              </c:strCache>
            </c:strRef>
          </c:tx>
          <c:invertIfNegative val="0"/>
          <c:cat>
            <c:strRef>
              <c:f>Histograms!$AO$4:$AO$10</c:f>
              <c:strCache>
                <c:ptCount val="6"/>
                <c:pt idx="0">
                  <c:v>11.23-11.33</c:v>
                </c:pt>
                <c:pt idx="1">
                  <c:v>11.33-11.43</c:v>
                </c:pt>
                <c:pt idx="2">
                  <c:v>11.43-11.53</c:v>
                </c:pt>
                <c:pt idx="3">
                  <c:v>11.53-11.63</c:v>
                </c:pt>
                <c:pt idx="4">
                  <c:v>11.63-11.73</c:v>
                </c:pt>
                <c:pt idx="5">
                  <c:v>11.83-11.93</c:v>
                </c:pt>
              </c:strCache>
            </c:strRef>
          </c:cat>
          <c:val>
            <c:numRef>
              <c:f>Histograms!$AP$4:$AP$10</c:f>
              <c:numCache>
                <c:formatCode>General</c:formatCode>
                <c:ptCount val="6"/>
                <c:pt idx="0">
                  <c:v>1</c:v>
                </c:pt>
                <c:pt idx="1">
                  <c:v>2</c:v>
                </c:pt>
                <c:pt idx="2">
                  <c:v>4</c:v>
                </c:pt>
                <c:pt idx="3">
                  <c:v>1</c:v>
                </c:pt>
                <c:pt idx="4">
                  <c:v>1</c:v>
                </c:pt>
                <c:pt idx="5">
                  <c:v>2</c:v>
                </c:pt>
              </c:numCache>
            </c:numRef>
          </c:val>
        </c:ser>
        <c:ser>
          <c:idx val="1"/>
          <c:order val="1"/>
          <c:tx>
            <c:strRef>
              <c:f>Histograms!$AQ$2:$AQ$3</c:f>
              <c:strCache>
                <c:ptCount val="1"/>
                <c:pt idx="0">
                  <c:v>Angle</c:v>
                </c:pt>
              </c:strCache>
            </c:strRef>
          </c:tx>
          <c:invertIfNegative val="0"/>
          <c:cat>
            <c:strRef>
              <c:f>Histograms!$AO$4:$AO$10</c:f>
              <c:strCache>
                <c:ptCount val="6"/>
                <c:pt idx="0">
                  <c:v>11.23-11.33</c:v>
                </c:pt>
                <c:pt idx="1">
                  <c:v>11.33-11.43</c:v>
                </c:pt>
                <c:pt idx="2">
                  <c:v>11.43-11.53</c:v>
                </c:pt>
                <c:pt idx="3">
                  <c:v>11.53-11.63</c:v>
                </c:pt>
                <c:pt idx="4">
                  <c:v>11.63-11.73</c:v>
                </c:pt>
                <c:pt idx="5">
                  <c:v>11.83-11.93</c:v>
                </c:pt>
              </c:strCache>
            </c:strRef>
          </c:cat>
          <c:val>
            <c:numRef>
              <c:f>Histograms!$AQ$4:$AQ$10</c:f>
              <c:numCache>
                <c:formatCode>General</c:formatCode>
                <c:ptCount val="6"/>
                <c:pt idx="4">
                  <c:v>5</c:v>
                </c:pt>
              </c:numCache>
            </c:numRef>
          </c:val>
        </c:ser>
        <c:ser>
          <c:idx val="2"/>
          <c:order val="2"/>
          <c:tx>
            <c:strRef>
              <c:f>Histograms!$AR$2:$AR$3</c:f>
              <c:strCache>
                <c:ptCount val="1"/>
                <c:pt idx="0">
                  <c:v>Overturning</c:v>
                </c:pt>
              </c:strCache>
            </c:strRef>
          </c:tx>
          <c:invertIfNegative val="0"/>
          <c:cat>
            <c:strRef>
              <c:f>Histograms!$AO$4:$AO$10</c:f>
              <c:strCache>
                <c:ptCount val="6"/>
                <c:pt idx="0">
                  <c:v>11.23-11.33</c:v>
                </c:pt>
                <c:pt idx="1">
                  <c:v>11.33-11.43</c:v>
                </c:pt>
                <c:pt idx="2">
                  <c:v>11.43-11.53</c:v>
                </c:pt>
                <c:pt idx="3">
                  <c:v>11.53-11.63</c:v>
                </c:pt>
                <c:pt idx="4">
                  <c:v>11.63-11.73</c:v>
                </c:pt>
                <c:pt idx="5">
                  <c:v>11.83-11.93</c:v>
                </c:pt>
              </c:strCache>
            </c:strRef>
          </c:cat>
          <c:val>
            <c:numRef>
              <c:f>Histograms!$AR$4:$AR$10</c:f>
              <c:numCache>
                <c:formatCode>General</c:formatCode>
                <c:ptCount val="6"/>
                <c:pt idx="4">
                  <c:v>1</c:v>
                </c:pt>
              </c:numCache>
            </c:numRef>
          </c:val>
        </c:ser>
        <c:ser>
          <c:idx val="3"/>
          <c:order val="3"/>
          <c:tx>
            <c:strRef>
              <c:f>Histograms!$AS$2:$AS$3</c:f>
              <c:strCache>
                <c:ptCount val="1"/>
                <c:pt idx="0">
                  <c:v>Fixed Object</c:v>
                </c:pt>
              </c:strCache>
            </c:strRef>
          </c:tx>
          <c:invertIfNegative val="0"/>
          <c:cat>
            <c:strRef>
              <c:f>Histograms!$AO$4:$AO$10</c:f>
              <c:strCache>
                <c:ptCount val="6"/>
                <c:pt idx="0">
                  <c:v>11.23-11.33</c:v>
                </c:pt>
                <c:pt idx="1">
                  <c:v>11.33-11.43</c:v>
                </c:pt>
                <c:pt idx="2">
                  <c:v>11.43-11.53</c:v>
                </c:pt>
                <c:pt idx="3">
                  <c:v>11.53-11.63</c:v>
                </c:pt>
                <c:pt idx="4">
                  <c:v>11.63-11.73</c:v>
                </c:pt>
                <c:pt idx="5">
                  <c:v>11.83-11.93</c:v>
                </c:pt>
              </c:strCache>
            </c:strRef>
          </c:cat>
          <c:val>
            <c:numRef>
              <c:f>Histograms!$AS$4:$AS$10</c:f>
              <c:numCache>
                <c:formatCode>General</c:formatCode>
                <c:ptCount val="6"/>
                <c:pt idx="4">
                  <c:v>1</c:v>
                </c:pt>
              </c:numCache>
            </c:numRef>
          </c:val>
        </c:ser>
        <c:ser>
          <c:idx val="4"/>
          <c:order val="4"/>
          <c:tx>
            <c:strRef>
              <c:f>Histograms!$AT$2:$AT$3</c:f>
              <c:strCache>
                <c:ptCount val="1"/>
                <c:pt idx="0">
                  <c:v>Left Turn</c:v>
                </c:pt>
              </c:strCache>
            </c:strRef>
          </c:tx>
          <c:invertIfNegative val="0"/>
          <c:cat>
            <c:strRef>
              <c:f>Histograms!$AO$4:$AO$10</c:f>
              <c:strCache>
                <c:ptCount val="6"/>
                <c:pt idx="0">
                  <c:v>11.23-11.33</c:v>
                </c:pt>
                <c:pt idx="1">
                  <c:v>11.33-11.43</c:v>
                </c:pt>
                <c:pt idx="2">
                  <c:v>11.43-11.53</c:v>
                </c:pt>
                <c:pt idx="3">
                  <c:v>11.53-11.63</c:v>
                </c:pt>
                <c:pt idx="4">
                  <c:v>11.63-11.73</c:v>
                </c:pt>
                <c:pt idx="5">
                  <c:v>11.83-11.93</c:v>
                </c:pt>
              </c:strCache>
            </c:strRef>
          </c:cat>
          <c:val>
            <c:numRef>
              <c:f>Histograms!$AT$4:$AT$10</c:f>
              <c:numCache>
                <c:formatCode>General</c:formatCode>
                <c:ptCount val="6"/>
                <c:pt idx="4">
                  <c:v>1</c:v>
                </c:pt>
              </c:numCache>
            </c:numRef>
          </c:val>
        </c:ser>
        <c:dLbls>
          <c:showLegendKey val="0"/>
          <c:showVal val="0"/>
          <c:showCatName val="0"/>
          <c:showSerName val="0"/>
          <c:showPercent val="0"/>
          <c:showBubbleSize val="0"/>
        </c:dLbls>
        <c:gapWidth val="150"/>
        <c:overlap val="100"/>
        <c:axId val="234544128"/>
        <c:axId val="235631744"/>
      </c:barChart>
      <c:catAx>
        <c:axId val="234544128"/>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en-US"/>
                  <a:t>Logpoint</a:t>
                </a:r>
              </a:p>
            </c:rich>
          </c:tx>
          <c:layout/>
          <c:overlay val="0"/>
        </c:title>
        <c:numFmt formatCode="General" sourceLinked="1"/>
        <c:majorTickMark val="out"/>
        <c:minorTickMark val="none"/>
        <c:tickLblPos val="nextTo"/>
        <c:txPr>
          <a:bodyPr rot="-5400000" vert="horz"/>
          <a:lstStyle/>
          <a:p>
            <a:pPr>
              <a:defRPr sz="1200" b="1" i="0" u="none" strike="noStrike" baseline="0">
                <a:solidFill>
                  <a:srgbClr val="000000"/>
                </a:solidFill>
                <a:latin typeface="Calibri"/>
                <a:ea typeface="Calibri"/>
                <a:cs typeface="Calibri"/>
              </a:defRPr>
            </a:pPr>
            <a:endParaRPr lang="en-US"/>
          </a:p>
        </c:txPr>
        <c:crossAx val="235631744"/>
        <c:crosses val="autoZero"/>
        <c:auto val="0"/>
        <c:lblAlgn val="ctr"/>
        <c:lblOffset val="100"/>
        <c:tickLblSkip val="1"/>
        <c:tickMarkSkip val="1"/>
        <c:noMultiLvlLbl val="0"/>
      </c:catAx>
      <c:valAx>
        <c:axId val="235631744"/>
        <c:scaling>
          <c:orientation val="minMax"/>
        </c:scaling>
        <c:delete val="0"/>
        <c:axPos val="l"/>
        <c:majorGridlines/>
        <c:title>
          <c:tx>
            <c:rich>
              <a:bodyPr/>
              <a:lstStyle/>
              <a:p>
                <a:pPr>
                  <a:defRPr sz="1200" b="1" i="0" u="none" strike="noStrike" baseline="0">
                    <a:solidFill>
                      <a:srgbClr val="000000"/>
                    </a:solidFill>
                    <a:latin typeface="Calibri"/>
                    <a:ea typeface="Calibri"/>
                    <a:cs typeface="Calibri"/>
                  </a:defRPr>
                </a:pPr>
                <a:r>
                  <a:rPr lang="en-US"/>
                  <a:t>Number of Crashes</a:t>
                </a:r>
              </a:p>
            </c:rich>
          </c:tx>
          <c:layout/>
          <c:overlay val="0"/>
        </c:title>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234544128"/>
        <c:crosses val="autoZero"/>
        <c:crossBetween val="between"/>
      </c:valAx>
    </c:plotArea>
    <c:legend>
      <c:legendPos val="r"/>
      <c:layout/>
      <c:overlay val="0"/>
      <c:txPr>
        <a:bodyPr/>
        <a:lstStyle/>
        <a:p>
          <a:pPr>
            <a:defRPr sz="85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pivotSource>
    <c:name>[SHE-CR-26_CAM_Tool_File.xls]Data Analysis!year1</c:name>
    <c:fmtId val="4"/>
  </c:pivotSource>
  <c:chart>
    <c:title>
      <c:tx>
        <c:rich>
          <a:bodyPr/>
          <a:lstStyle/>
          <a:p>
            <a:pPr>
              <a:defRPr sz="1680" b="1" i="0" u="none" strike="noStrike" baseline="0">
                <a:solidFill>
                  <a:srgbClr val="000000"/>
                </a:solidFill>
                <a:latin typeface="Calibri"/>
                <a:ea typeface="Calibri"/>
                <a:cs typeface="Calibri"/>
              </a:defRPr>
            </a:pPr>
            <a:r>
              <a:rPr lang="en-US"/>
              <a:t>Frequency of Crashes by Year</a:t>
            </a:r>
          </a:p>
        </c:rich>
      </c:tx>
      <c:layout/>
      <c:overlay val="0"/>
    </c:title>
    <c:autoTitleDeleted val="0"/>
    <c:pivotFmts>
      <c:pivotFmt>
        <c:idx val="0"/>
        <c:marker>
          <c:symbol val="none"/>
        </c:marker>
        <c:dLbl>
          <c:idx val="0"/>
          <c:spPr/>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dLbl>
      </c:pivotFmt>
      <c:pivotFmt>
        <c:idx val="1"/>
      </c:pivotFmt>
      <c:pivotFmt>
        <c:idx val="2"/>
      </c:pivotFmt>
      <c:pivotFmt>
        <c:idx val="3"/>
        <c:marker>
          <c:symbol val="none"/>
        </c:marker>
        <c:dLbl>
          <c:idx val="0"/>
          <c:spPr/>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dLbl>
      </c:pivotFmt>
      <c:pivotFmt>
        <c:idx val="4"/>
        <c:marker>
          <c:symbol val="none"/>
        </c:marker>
        <c:dLbl>
          <c:idx val="0"/>
          <c:spPr/>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dLbl>
      </c:pivotFmt>
    </c:pivotFmts>
    <c:view3D>
      <c:rotX val="45"/>
      <c:rotY val="0"/>
      <c:rAngAx val="0"/>
      <c:perspective val="0"/>
    </c:view3D>
    <c:floor>
      <c:thickness val="0"/>
    </c:floor>
    <c:sideWall>
      <c:thickness val="0"/>
    </c:sideWall>
    <c:backWall>
      <c:thickness val="0"/>
    </c:backWall>
    <c:plotArea>
      <c:layout/>
      <c:pie3DChart>
        <c:varyColors val="1"/>
        <c:ser>
          <c:idx val="0"/>
          <c:order val="0"/>
          <c:tx>
            <c:strRef>
              <c:f>'Data Analysis'!$G$9</c:f>
              <c:strCache>
                <c:ptCount val="1"/>
                <c:pt idx="0">
                  <c:v>Total</c:v>
                </c:pt>
              </c:strCache>
            </c:strRef>
          </c:tx>
          <c:dPt>
            <c:idx val="0"/>
            <c:bubble3D val="0"/>
          </c:dPt>
          <c:dPt>
            <c:idx val="1"/>
            <c:bubble3D val="0"/>
          </c:dPt>
          <c:dLbls>
            <c:txPr>
              <a:bodyPr/>
              <a:lstStyle/>
              <a:p>
                <a:pPr>
                  <a:defRPr sz="1400" b="1" i="0" u="none" strike="noStrike" baseline="0">
                    <a:solidFill>
                      <a:srgbClr val="000000"/>
                    </a:solidFill>
                    <a:latin typeface="Calibri"/>
                    <a:ea typeface="Calibri"/>
                    <a:cs typeface="Calibri"/>
                  </a:defRPr>
                </a:pPr>
                <a:endParaRPr lang="en-US"/>
              </a:p>
            </c:txPr>
            <c:showLegendKey val="1"/>
            <c:showVal val="1"/>
            <c:showCatName val="0"/>
            <c:showSerName val="0"/>
            <c:showPercent val="1"/>
            <c:showBubbleSize val="0"/>
            <c:showLeaderLines val="1"/>
            <c:leaderLines>
              <c:spPr>
                <a:ln>
                  <a:solidFill>
                    <a:sysClr val="windowText" lastClr="000000"/>
                  </a:solidFill>
                </a:ln>
              </c:spPr>
            </c:leaderLines>
          </c:dLbls>
          <c:cat>
            <c:strRef>
              <c:f>'Data Analysis'!$F$10:$F$16</c:f>
              <c:strCache>
                <c:ptCount val="6"/>
                <c:pt idx="0">
                  <c:v>2006</c:v>
                </c:pt>
                <c:pt idx="1">
                  <c:v>2007</c:v>
                </c:pt>
                <c:pt idx="2">
                  <c:v>2008</c:v>
                </c:pt>
                <c:pt idx="3">
                  <c:v>2009</c:v>
                </c:pt>
                <c:pt idx="4">
                  <c:v>2010</c:v>
                </c:pt>
                <c:pt idx="5">
                  <c:v>2011</c:v>
                </c:pt>
              </c:strCache>
            </c:strRef>
          </c:cat>
          <c:val>
            <c:numRef>
              <c:f>'Data Analysis'!$G$10:$G$16</c:f>
              <c:numCache>
                <c:formatCode>General</c:formatCode>
                <c:ptCount val="6"/>
                <c:pt idx="0">
                  <c:v>2</c:v>
                </c:pt>
                <c:pt idx="1">
                  <c:v>6</c:v>
                </c:pt>
                <c:pt idx="2">
                  <c:v>5</c:v>
                </c:pt>
                <c:pt idx="3">
                  <c:v>2</c:v>
                </c:pt>
                <c:pt idx="4">
                  <c:v>4</c:v>
                </c:pt>
                <c:pt idx="5">
                  <c:v>3</c:v>
                </c:pt>
              </c:numCache>
            </c:numRef>
          </c:val>
        </c:ser>
        <c:dLbls>
          <c:showLegendKey val="0"/>
          <c:showVal val="0"/>
          <c:showCatName val="0"/>
          <c:showSerName val="0"/>
          <c:showPercent val="0"/>
          <c:showBubbleSize val="0"/>
          <c:showLeaderLines val="1"/>
        </c:dLbls>
      </c:pie3DChart>
      <c:spPr>
        <a:noFill/>
        <a:ln w="25400">
          <a:noFill/>
        </a:ln>
      </c:spPr>
    </c:plotArea>
    <c:legend>
      <c:legendPos val="r"/>
      <c:layout/>
      <c:overlay val="0"/>
      <c:txPr>
        <a:bodyPr/>
        <a:lstStyle/>
        <a:p>
          <a:pPr>
            <a:defRPr sz="995" b="1" i="0" u="none" strike="noStrike" baseline="0">
              <a:solidFill>
                <a:srgbClr val="000000"/>
              </a:solidFill>
              <a:latin typeface="Calibri"/>
              <a:ea typeface="Calibri"/>
              <a:cs typeface="Calibri"/>
            </a:defRPr>
          </a:pPr>
          <a:endParaRPr lang="en-US"/>
        </a:p>
      </c:txPr>
    </c:legend>
    <c:plotVisOnly val="1"/>
    <c:dispBlanksAs val="zero"/>
    <c:showDLblsOverMax val="0"/>
  </c:chart>
  <c:spPr>
    <a:gradFill>
      <a:gsLst>
        <a:gs pos="24000">
          <a:sysClr val="window" lastClr="FFFFFF">
            <a:lumMod val="65000"/>
          </a:sysClr>
        </a:gs>
        <a:gs pos="100000">
          <a:srgbClr val="E6E6E6"/>
        </a:gs>
      </a:gsLst>
      <a:lin ang="16200000" scaled="0"/>
    </a:gradFill>
  </c:spPr>
  <c:txPr>
    <a:bodyPr/>
    <a:lstStyle/>
    <a:p>
      <a:pPr>
        <a:defRPr sz="14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pivotSource>
    <c:name>[SHE-CR-26_CAM_Tool_File.xls]Data Analysis!sevyear</c:name>
    <c:fmtId val="4"/>
  </c:pivotSource>
  <c:chart>
    <c:title>
      <c:tx>
        <c:rich>
          <a:bodyPr/>
          <a:lstStyle/>
          <a:p>
            <a:pPr>
              <a:defRPr sz="1440" b="1" i="0" u="none" strike="noStrike" baseline="0">
                <a:solidFill>
                  <a:srgbClr val="000000"/>
                </a:solidFill>
                <a:latin typeface="Calibri"/>
                <a:ea typeface="Calibri"/>
                <a:cs typeface="Calibri"/>
              </a:defRPr>
            </a:pPr>
            <a:r>
              <a:rPr lang="en-US"/>
              <a:t>Frequency of Crashes by Year and Severity</a:t>
            </a: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barChart>
        <c:barDir val="col"/>
        <c:grouping val="clustered"/>
        <c:varyColors val="0"/>
        <c:ser>
          <c:idx val="0"/>
          <c:order val="0"/>
          <c:tx>
            <c:strRef>
              <c:f>'Data Analysis'!$L$3:$L$4</c:f>
              <c:strCache>
                <c:ptCount val="1"/>
                <c:pt idx="0">
                  <c:v>Property Damage Crash</c:v>
                </c:pt>
              </c:strCache>
            </c:strRef>
          </c:tx>
          <c:invertIfNegative val="0"/>
          <c:cat>
            <c:strRef>
              <c:f>'Data Analysis'!$K$5:$K$11</c:f>
              <c:strCache>
                <c:ptCount val="6"/>
                <c:pt idx="0">
                  <c:v>2006</c:v>
                </c:pt>
                <c:pt idx="1">
                  <c:v>2007</c:v>
                </c:pt>
                <c:pt idx="2">
                  <c:v>2008</c:v>
                </c:pt>
                <c:pt idx="3">
                  <c:v>2009</c:v>
                </c:pt>
                <c:pt idx="4">
                  <c:v>2010</c:v>
                </c:pt>
                <c:pt idx="5">
                  <c:v>2011</c:v>
                </c:pt>
              </c:strCache>
            </c:strRef>
          </c:cat>
          <c:val>
            <c:numRef>
              <c:f>'Data Analysis'!$L$5:$L$11</c:f>
              <c:numCache>
                <c:formatCode>General</c:formatCode>
                <c:ptCount val="6"/>
                <c:pt idx="0">
                  <c:v>1</c:v>
                </c:pt>
                <c:pt idx="1">
                  <c:v>4</c:v>
                </c:pt>
                <c:pt idx="2">
                  <c:v>3</c:v>
                </c:pt>
                <c:pt idx="3">
                  <c:v>2</c:v>
                </c:pt>
                <c:pt idx="4">
                  <c:v>2</c:v>
                </c:pt>
                <c:pt idx="5">
                  <c:v>1</c:v>
                </c:pt>
              </c:numCache>
            </c:numRef>
          </c:val>
        </c:ser>
        <c:ser>
          <c:idx val="1"/>
          <c:order val="1"/>
          <c:tx>
            <c:strRef>
              <c:f>'Data Analysis'!$M$3:$M$4</c:f>
              <c:strCache>
                <c:ptCount val="1"/>
                <c:pt idx="0">
                  <c:v>Injury Crash</c:v>
                </c:pt>
              </c:strCache>
            </c:strRef>
          </c:tx>
          <c:invertIfNegative val="0"/>
          <c:cat>
            <c:strRef>
              <c:f>'Data Analysis'!$K$5:$K$11</c:f>
              <c:strCache>
                <c:ptCount val="6"/>
                <c:pt idx="0">
                  <c:v>2006</c:v>
                </c:pt>
                <c:pt idx="1">
                  <c:v>2007</c:v>
                </c:pt>
                <c:pt idx="2">
                  <c:v>2008</c:v>
                </c:pt>
                <c:pt idx="3">
                  <c:v>2009</c:v>
                </c:pt>
                <c:pt idx="4">
                  <c:v>2010</c:v>
                </c:pt>
                <c:pt idx="5">
                  <c:v>2011</c:v>
                </c:pt>
              </c:strCache>
            </c:strRef>
          </c:cat>
          <c:val>
            <c:numRef>
              <c:f>'Data Analysis'!$M$5:$M$11</c:f>
              <c:numCache>
                <c:formatCode>General</c:formatCode>
                <c:ptCount val="6"/>
                <c:pt idx="0">
                  <c:v>1</c:v>
                </c:pt>
                <c:pt idx="1">
                  <c:v>2</c:v>
                </c:pt>
                <c:pt idx="2">
                  <c:v>2</c:v>
                </c:pt>
                <c:pt idx="3">
                  <c:v>0</c:v>
                </c:pt>
                <c:pt idx="4">
                  <c:v>2</c:v>
                </c:pt>
                <c:pt idx="5">
                  <c:v>2</c:v>
                </c:pt>
              </c:numCache>
            </c:numRef>
          </c:val>
        </c:ser>
        <c:dLbls>
          <c:showLegendKey val="0"/>
          <c:showVal val="0"/>
          <c:showCatName val="0"/>
          <c:showSerName val="0"/>
          <c:showPercent val="0"/>
          <c:showBubbleSize val="0"/>
        </c:dLbls>
        <c:gapWidth val="150"/>
        <c:axId val="77412224"/>
        <c:axId val="77413760"/>
      </c:barChart>
      <c:catAx>
        <c:axId val="77412224"/>
        <c:scaling>
          <c:orientation val="minMax"/>
        </c:scaling>
        <c:delete val="0"/>
        <c:axPos val="b"/>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77413760"/>
        <c:crosses val="autoZero"/>
        <c:auto val="0"/>
        <c:lblAlgn val="ctr"/>
        <c:lblOffset val="200"/>
        <c:tickLblSkip val="1"/>
        <c:tickMarkSkip val="1"/>
        <c:noMultiLvlLbl val="0"/>
      </c:catAx>
      <c:valAx>
        <c:axId val="77413760"/>
        <c:scaling>
          <c:orientation val="minMax"/>
        </c:scaling>
        <c:delete val="0"/>
        <c:axPos val="l"/>
        <c:majorGridlines/>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77412224"/>
        <c:crosses val="autoZero"/>
        <c:crossBetween val="between"/>
      </c:valAx>
    </c:plotArea>
    <c:legend>
      <c:legendPos val="b"/>
      <c:layout/>
      <c:overlay val="0"/>
      <c:txPr>
        <a:bodyPr/>
        <a:lstStyle/>
        <a:p>
          <a:pPr>
            <a:defRPr sz="85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pivotSource>
    <c:name>[SHE-CR-26_CAM_Tool_File.xls]Data Analysis!hour1</c:name>
    <c:fmtId val="4"/>
  </c:pivotSource>
  <c:chart>
    <c:title>
      <c:tx>
        <c:rich>
          <a:bodyPr/>
          <a:lstStyle/>
          <a:p>
            <a:pPr>
              <a:defRPr sz="1440" b="1" i="0" u="none" strike="noStrike" baseline="0">
                <a:solidFill>
                  <a:srgbClr val="000000"/>
                </a:solidFill>
                <a:latin typeface="Calibri"/>
                <a:ea typeface="Calibri"/>
                <a:cs typeface="Calibri"/>
              </a:defRPr>
            </a:pPr>
            <a:r>
              <a:rPr lang="en-US"/>
              <a:t>Frequency of Crashes by Hour</a:t>
            </a:r>
          </a:p>
        </c:rich>
      </c:tx>
      <c:layout/>
      <c:overlay val="0"/>
    </c:title>
    <c:autoTitleDeleted val="0"/>
    <c:pivotFmts>
      <c:pivotFmt>
        <c:idx val="0"/>
        <c:marker>
          <c:symbol val="none"/>
        </c:marker>
      </c:pivotFmt>
      <c:pivotFmt>
        <c:idx val="1"/>
        <c:marker>
          <c:symbol val="none"/>
        </c:marker>
      </c:pivotFmt>
      <c:pivotFmt>
        <c:idx val="2"/>
        <c:marker>
          <c:symbol val="none"/>
        </c:marker>
      </c:pivotFmt>
    </c:pivotFmts>
    <c:plotArea>
      <c:layout/>
      <c:barChart>
        <c:barDir val="col"/>
        <c:grouping val="stacked"/>
        <c:varyColors val="0"/>
        <c:ser>
          <c:idx val="0"/>
          <c:order val="0"/>
          <c:tx>
            <c:strRef>
              <c:f>'Data Analysis'!$B$29</c:f>
              <c:strCache>
                <c:ptCount val="1"/>
                <c:pt idx="0">
                  <c:v>Total</c:v>
                </c:pt>
              </c:strCache>
            </c:strRef>
          </c:tx>
          <c:invertIfNegative val="0"/>
          <c:cat>
            <c:strRef>
              <c:f>'Data Analysis'!$A$30:$A$42</c:f>
              <c:strCache>
                <c:ptCount val="12"/>
                <c:pt idx="0">
                  <c:v>1</c:v>
                </c:pt>
                <c:pt idx="1">
                  <c:v>2</c:v>
                </c:pt>
                <c:pt idx="2">
                  <c:v>4</c:v>
                </c:pt>
                <c:pt idx="3">
                  <c:v>6</c:v>
                </c:pt>
                <c:pt idx="4">
                  <c:v>7</c:v>
                </c:pt>
                <c:pt idx="5">
                  <c:v>13</c:v>
                </c:pt>
                <c:pt idx="6">
                  <c:v>14</c:v>
                </c:pt>
                <c:pt idx="7">
                  <c:v>15</c:v>
                </c:pt>
                <c:pt idx="8">
                  <c:v>16</c:v>
                </c:pt>
                <c:pt idx="9">
                  <c:v>18</c:v>
                </c:pt>
                <c:pt idx="10">
                  <c:v>19</c:v>
                </c:pt>
                <c:pt idx="11">
                  <c:v>22</c:v>
                </c:pt>
              </c:strCache>
            </c:strRef>
          </c:cat>
          <c:val>
            <c:numRef>
              <c:f>'Data Analysis'!$B$30:$B$42</c:f>
              <c:numCache>
                <c:formatCode>General</c:formatCode>
                <c:ptCount val="12"/>
                <c:pt idx="0">
                  <c:v>1</c:v>
                </c:pt>
                <c:pt idx="1">
                  <c:v>1</c:v>
                </c:pt>
                <c:pt idx="2">
                  <c:v>2</c:v>
                </c:pt>
                <c:pt idx="3">
                  <c:v>3</c:v>
                </c:pt>
                <c:pt idx="4">
                  <c:v>6</c:v>
                </c:pt>
                <c:pt idx="5">
                  <c:v>1</c:v>
                </c:pt>
                <c:pt idx="6">
                  <c:v>2</c:v>
                </c:pt>
                <c:pt idx="7">
                  <c:v>1</c:v>
                </c:pt>
                <c:pt idx="8">
                  <c:v>2</c:v>
                </c:pt>
                <c:pt idx="9">
                  <c:v>1</c:v>
                </c:pt>
                <c:pt idx="10">
                  <c:v>1</c:v>
                </c:pt>
                <c:pt idx="11">
                  <c:v>1</c:v>
                </c:pt>
              </c:numCache>
            </c:numRef>
          </c:val>
        </c:ser>
        <c:dLbls>
          <c:showLegendKey val="0"/>
          <c:showVal val="0"/>
          <c:showCatName val="0"/>
          <c:showSerName val="0"/>
          <c:showPercent val="0"/>
          <c:showBubbleSize val="0"/>
        </c:dLbls>
        <c:gapWidth val="150"/>
        <c:overlap val="100"/>
        <c:axId val="77434240"/>
        <c:axId val="77448320"/>
      </c:barChart>
      <c:catAx>
        <c:axId val="77434240"/>
        <c:scaling>
          <c:orientation val="minMax"/>
        </c:scaling>
        <c:delete val="0"/>
        <c:axPos val="b"/>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77448320"/>
        <c:crosses val="autoZero"/>
        <c:auto val="0"/>
        <c:lblAlgn val="ctr"/>
        <c:lblOffset val="100"/>
        <c:tickLblSkip val="1"/>
        <c:tickMarkSkip val="1"/>
        <c:noMultiLvlLbl val="0"/>
      </c:catAx>
      <c:valAx>
        <c:axId val="77448320"/>
        <c:scaling>
          <c:orientation val="minMax"/>
        </c:scaling>
        <c:delete val="0"/>
        <c:axPos val="l"/>
        <c:majorGridlines/>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77434240"/>
        <c:crosses val="autoZero"/>
        <c:crossBetween val="between"/>
      </c:valAx>
      <c:spPr>
        <a:noFill/>
        <a:ln>
          <a:solidFill>
            <a:sysClr val="window" lastClr="FFFFFF">
              <a:lumMod val="50000"/>
            </a:sysClr>
          </a:solidFill>
        </a:ln>
      </c:spPr>
    </c:plotArea>
    <c:plotVisOnly val="1"/>
    <c:dispBlanksAs val="gap"/>
    <c:showDLblsOverMax val="0"/>
  </c:chart>
  <c:spPr>
    <a:solidFill>
      <a:sysClr val="window" lastClr="FFFFFF"/>
    </a:solidFill>
  </c:spPr>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pivotSource>
    <c:name>[SHE-CR-26_CAM_Tool_File.xls]Histograms!Logpoint_Severity</c:name>
    <c:fmtId val="4"/>
  </c:pivotSource>
  <c:chart>
    <c:title>
      <c:tx>
        <c:rich>
          <a:bodyPr/>
          <a:lstStyle/>
          <a:p>
            <a:pPr>
              <a:defRPr sz="1440" b="1" i="0" u="none" strike="noStrike" baseline="0">
                <a:solidFill>
                  <a:srgbClr val="000000"/>
                </a:solidFill>
                <a:latin typeface="Calibri"/>
                <a:ea typeface="Calibri"/>
                <a:cs typeface="Calibri"/>
              </a:defRPr>
            </a:pPr>
            <a:r>
              <a:rPr lang="en-US"/>
              <a:t>Location Frequency Chart by Severity</a:t>
            </a: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barChart>
        <c:barDir val="col"/>
        <c:grouping val="stacked"/>
        <c:varyColors val="0"/>
        <c:ser>
          <c:idx val="0"/>
          <c:order val="0"/>
          <c:tx>
            <c:strRef>
              <c:f>Histograms!$AK$2:$AK$3</c:f>
              <c:strCache>
                <c:ptCount val="1"/>
                <c:pt idx="0">
                  <c:v>Property Damage Crash</c:v>
                </c:pt>
              </c:strCache>
            </c:strRef>
          </c:tx>
          <c:invertIfNegative val="0"/>
          <c:cat>
            <c:strRef>
              <c:f>Histograms!$AJ$4:$AJ$14</c:f>
              <c:strCache>
                <c:ptCount val="10"/>
                <c:pt idx="0">
                  <c:v>0.98-1.08</c:v>
                </c:pt>
                <c:pt idx="1">
                  <c:v>1.08-1.18</c:v>
                </c:pt>
                <c:pt idx="2">
                  <c:v>1.18-1.28</c:v>
                </c:pt>
                <c:pt idx="3">
                  <c:v>1.38-1.48</c:v>
                </c:pt>
                <c:pt idx="4">
                  <c:v>1.48-1.58</c:v>
                </c:pt>
                <c:pt idx="5">
                  <c:v>1.58-1.68</c:v>
                </c:pt>
                <c:pt idx="6">
                  <c:v>1.68-1.78</c:v>
                </c:pt>
                <c:pt idx="7">
                  <c:v>1.78-1.88</c:v>
                </c:pt>
                <c:pt idx="8">
                  <c:v>1.88-1.98</c:v>
                </c:pt>
                <c:pt idx="9">
                  <c:v>1.98-2.08</c:v>
                </c:pt>
              </c:strCache>
            </c:strRef>
          </c:cat>
          <c:val>
            <c:numRef>
              <c:f>Histograms!$AK$4:$AK$14</c:f>
              <c:numCache>
                <c:formatCode>General</c:formatCode>
                <c:ptCount val="10"/>
                <c:pt idx="0">
                  <c:v>1</c:v>
                </c:pt>
                <c:pt idx="1">
                  <c:v>2</c:v>
                </c:pt>
                <c:pt idx="2">
                  <c:v>1</c:v>
                </c:pt>
                <c:pt idx="5">
                  <c:v>6</c:v>
                </c:pt>
                <c:pt idx="6">
                  <c:v>1</c:v>
                </c:pt>
                <c:pt idx="7">
                  <c:v>1</c:v>
                </c:pt>
                <c:pt idx="8">
                  <c:v>1</c:v>
                </c:pt>
              </c:numCache>
            </c:numRef>
          </c:val>
        </c:ser>
        <c:ser>
          <c:idx val="1"/>
          <c:order val="1"/>
          <c:tx>
            <c:strRef>
              <c:f>Histograms!$AL$2:$AL$3</c:f>
              <c:strCache>
                <c:ptCount val="1"/>
                <c:pt idx="0">
                  <c:v>Injury Crash</c:v>
                </c:pt>
              </c:strCache>
            </c:strRef>
          </c:tx>
          <c:invertIfNegative val="0"/>
          <c:cat>
            <c:strRef>
              <c:f>Histograms!$AJ$4:$AJ$14</c:f>
              <c:strCache>
                <c:ptCount val="10"/>
                <c:pt idx="0">
                  <c:v>0.98-1.08</c:v>
                </c:pt>
                <c:pt idx="1">
                  <c:v>1.08-1.18</c:v>
                </c:pt>
                <c:pt idx="2">
                  <c:v>1.18-1.28</c:v>
                </c:pt>
                <c:pt idx="3">
                  <c:v>1.38-1.48</c:v>
                </c:pt>
                <c:pt idx="4">
                  <c:v>1.48-1.58</c:v>
                </c:pt>
                <c:pt idx="5">
                  <c:v>1.58-1.68</c:v>
                </c:pt>
                <c:pt idx="6">
                  <c:v>1.68-1.78</c:v>
                </c:pt>
                <c:pt idx="7">
                  <c:v>1.78-1.88</c:v>
                </c:pt>
                <c:pt idx="8">
                  <c:v>1.88-1.98</c:v>
                </c:pt>
                <c:pt idx="9">
                  <c:v>1.98-2.08</c:v>
                </c:pt>
              </c:strCache>
            </c:strRef>
          </c:cat>
          <c:val>
            <c:numRef>
              <c:f>Histograms!$AL$4:$AL$14</c:f>
              <c:numCache>
                <c:formatCode>General</c:formatCode>
                <c:ptCount val="10"/>
                <c:pt idx="0">
                  <c:v>2</c:v>
                </c:pt>
                <c:pt idx="3">
                  <c:v>1</c:v>
                </c:pt>
                <c:pt idx="4">
                  <c:v>1</c:v>
                </c:pt>
                <c:pt idx="5">
                  <c:v>2</c:v>
                </c:pt>
                <c:pt idx="6">
                  <c:v>2</c:v>
                </c:pt>
                <c:pt idx="9">
                  <c:v>1</c:v>
                </c:pt>
              </c:numCache>
            </c:numRef>
          </c:val>
        </c:ser>
        <c:dLbls>
          <c:showLegendKey val="0"/>
          <c:showVal val="0"/>
          <c:showCatName val="0"/>
          <c:showSerName val="0"/>
          <c:showPercent val="0"/>
          <c:showBubbleSize val="0"/>
        </c:dLbls>
        <c:gapWidth val="150"/>
        <c:overlap val="100"/>
        <c:axId val="77473280"/>
        <c:axId val="77475200"/>
      </c:barChart>
      <c:catAx>
        <c:axId val="77473280"/>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en-US"/>
                  <a:t>Logpoint</a:t>
                </a:r>
              </a:p>
            </c:rich>
          </c:tx>
          <c:layout/>
          <c:overlay val="0"/>
        </c:title>
        <c:numFmt formatCode="General" sourceLinked="1"/>
        <c:majorTickMark val="out"/>
        <c:minorTickMark val="none"/>
        <c:tickLblPos val="nextTo"/>
        <c:txPr>
          <a:bodyPr rot="-5400000" vert="horz"/>
          <a:lstStyle/>
          <a:p>
            <a:pPr>
              <a:defRPr sz="1200" b="1" i="0" u="none" strike="noStrike" baseline="0">
                <a:solidFill>
                  <a:srgbClr val="000000"/>
                </a:solidFill>
                <a:latin typeface="Calibri"/>
                <a:ea typeface="Calibri"/>
                <a:cs typeface="Calibri"/>
              </a:defRPr>
            </a:pPr>
            <a:endParaRPr lang="en-US"/>
          </a:p>
        </c:txPr>
        <c:crossAx val="77475200"/>
        <c:crosses val="autoZero"/>
        <c:auto val="0"/>
        <c:lblAlgn val="ctr"/>
        <c:lblOffset val="100"/>
        <c:tickLblSkip val="1"/>
        <c:tickMarkSkip val="1"/>
        <c:noMultiLvlLbl val="0"/>
      </c:catAx>
      <c:valAx>
        <c:axId val="77475200"/>
        <c:scaling>
          <c:orientation val="minMax"/>
        </c:scaling>
        <c:delete val="0"/>
        <c:axPos val="l"/>
        <c:majorGridlines/>
        <c:title>
          <c:tx>
            <c:rich>
              <a:bodyPr/>
              <a:lstStyle/>
              <a:p>
                <a:pPr>
                  <a:defRPr sz="1200" b="1" i="0" u="none" strike="noStrike" baseline="0">
                    <a:solidFill>
                      <a:srgbClr val="000000"/>
                    </a:solidFill>
                    <a:latin typeface="Calibri"/>
                    <a:ea typeface="Calibri"/>
                    <a:cs typeface="Calibri"/>
                  </a:defRPr>
                </a:pPr>
                <a:r>
                  <a:rPr lang="en-US"/>
                  <a:t>Number of Crashes</a:t>
                </a:r>
              </a:p>
            </c:rich>
          </c:tx>
          <c:layout/>
          <c:overlay val="0"/>
        </c:title>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en-US"/>
          </a:p>
        </c:txPr>
        <c:crossAx val="77473280"/>
        <c:crosses val="autoZero"/>
        <c:crossBetween val="between"/>
      </c:valAx>
    </c:plotArea>
    <c:legend>
      <c:legendPos val="b"/>
      <c:layout/>
      <c:overlay val="0"/>
      <c:txPr>
        <a:bodyPr/>
        <a:lstStyle/>
        <a:p>
          <a:pPr>
            <a:defRPr sz="85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D5C5760E49540B0A743F57F66A359DE"/>
        <w:category>
          <w:name w:val="General"/>
          <w:gallery w:val="placeholder"/>
        </w:category>
        <w:types>
          <w:type w:val="bbPlcHdr"/>
        </w:types>
        <w:behaviors>
          <w:behavior w:val="content"/>
        </w:behaviors>
        <w:guid w:val="{0CD0B2AC-7408-44D3-AE71-2B5C92E90CCE}"/>
      </w:docPartPr>
      <w:docPartBody>
        <w:p w:rsidR="003436E7" w:rsidRDefault="00432E03" w:rsidP="00432E03">
          <w:pPr>
            <w:pStyle w:val="3D5C5760E49540B0A743F57F66A359DE"/>
          </w:pPr>
          <w:r>
            <w:rPr>
              <w:noProof/>
              <w:color w:val="7F7F7F" w:themeColor="background1" w:themeShade="7F"/>
            </w:rPr>
            <w:t>[Type the company name]</w:t>
          </w:r>
        </w:p>
      </w:docPartBody>
    </w:docPart>
    <w:docPart>
      <w:docPartPr>
        <w:name w:val="3FE4C9DCEC6C4C21BB4E1330C1D5590A"/>
        <w:category>
          <w:name w:val="General"/>
          <w:gallery w:val="placeholder"/>
        </w:category>
        <w:types>
          <w:type w:val="bbPlcHdr"/>
        </w:types>
        <w:behaviors>
          <w:behavior w:val="content"/>
        </w:behaviors>
        <w:guid w:val="{E7A3118D-536B-404F-B1B0-ABC2043093FC}"/>
      </w:docPartPr>
      <w:docPartBody>
        <w:p w:rsidR="003436E7" w:rsidRDefault="00432E03" w:rsidP="00432E03">
          <w:pPr>
            <w:pStyle w:val="3FE4C9DCEC6C4C21BB4E1330C1D5590A"/>
          </w:pPr>
          <w:r>
            <w:rPr>
              <w:color w:val="7F7F7F" w:themeColor="background1" w:themeShade="7F"/>
            </w:rPr>
            <w:t>[Type the company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432E03"/>
    <w:rsid w:val="000232BE"/>
    <w:rsid w:val="000F4B64"/>
    <w:rsid w:val="001F75A5"/>
    <w:rsid w:val="003436E7"/>
    <w:rsid w:val="00432E03"/>
    <w:rsid w:val="008574B9"/>
    <w:rsid w:val="00DD40E5"/>
    <w:rsid w:val="00E9377A"/>
    <w:rsid w:val="00FB1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6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965A4B946C4ABAAEFE711703A90FF6">
    <w:name w:val="03965A4B946C4ABAAEFE711703A90FF6"/>
    <w:rsid w:val="00432E03"/>
  </w:style>
  <w:style w:type="paragraph" w:customStyle="1" w:styleId="6DBBF734190E4D0A8BD61E8C65C13508">
    <w:name w:val="6DBBF734190E4D0A8BD61E8C65C13508"/>
    <w:rsid w:val="00432E03"/>
  </w:style>
  <w:style w:type="paragraph" w:customStyle="1" w:styleId="0532FE2A81F94066B20688718A69376D">
    <w:name w:val="0532FE2A81F94066B20688718A69376D"/>
    <w:rsid w:val="00432E03"/>
  </w:style>
  <w:style w:type="paragraph" w:customStyle="1" w:styleId="F1A2492197A04F87AD2233260630AB16">
    <w:name w:val="F1A2492197A04F87AD2233260630AB16"/>
    <w:rsid w:val="00432E03"/>
  </w:style>
  <w:style w:type="paragraph" w:customStyle="1" w:styleId="3D5C5760E49540B0A743F57F66A359DE">
    <w:name w:val="3D5C5760E49540B0A743F57F66A359DE"/>
    <w:rsid w:val="00432E03"/>
  </w:style>
  <w:style w:type="paragraph" w:customStyle="1" w:styleId="3FE4C9DCEC6C4C21BB4E1330C1D5590A">
    <w:name w:val="3FE4C9DCEC6C4C21BB4E1330C1D5590A"/>
    <w:rsid w:val="00432E03"/>
  </w:style>
  <w:style w:type="character" w:styleId="PlaceholderText">
    <w:name w:val="Placeholder Text"/>
    <w:basedOn w:val="DefaultParagraphFont"/>
    <w:uiPriority w:val="99"/>
    <w:semiHidden/>
    <w:rsid w:val="00DD40E5"/>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Shelby County Rural Roadways Safety Audit Assistance Program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902E93CA6245A4CB40E38A1AF2B68EC" ma:contentTypeVersion="0" ma:contentTypeDescription="Create a new document." ma:contentTypeScope="" ma:versionID="fdcc2fa7e562b7d1f57599740eae3a25">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9C9245-5BCE-4D60-9837-87540CA9293F}">
  <ds:schemaRefs>
    <ds:schemaRef ds:uri="http://schemas.openxmlformats.org/officeDocument/2006/bibliography"/>
  </ds:schemaRefs>
</ds:datastoreItem>
</file>

<file path=customXml/itemProps3.xml><?xml version="1.0" encoding="utf-8"?>
<ds:datastoreItem xmlns:ds="http://schemas.openxmlformats.org/officeDocument/2006/customXml" ds:itemID="{7C670D00-5FC7-4A29-AABC-0BF5C621CF91}"/>
</file>

<file path=customXml/itemProps4.xml><?xml version="1.0" encoding="utf-8"?>
<ds:datastoreItem xmlns:ds="http://schemas.openxmlformats.org/officeDocument/2006/customXml" ds:itemID="{5A522D45-D981-4894-9020-BFCD4D31F8D0}"/>
</file>

<file path=customXml/itemProps5.xml><?xml version="1.0" encoding="utf-8"?>
<ds:datastoreItem xmlns:ds="http://schemas.openxmlformats.org/officeDocument/2006/customXml" ds:itemID="{BF645212-EDED-433B-9B99-CCC1789368F8}"/>
</file>

<file path=docProps/app.xml><?xml version="1.0" encoding="utf-8"?>
<Properties xmlns="http://schemas.openxmlformats.org/officeDocument/2006/extended-properties" xmlns:vt="http://schemas.openxmlformats.org/officeDocument/2006/docPropsVTypes">
  <Template>Normal.dotm</Template>
  <TotalTime>124</TotalTime>
  <Pages>38</Pages>
  <Words>1488</Words>
  <Characters>8486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Rural Road Audit Assistance Program Guidebook</vt:lpstr>
    </vt:vector>
  </TitlesOfParts>
  <Company>Ohio LTAP Center</Company>
  <LinksUpToDate>false</LinksUpToDate>
  <CharactersWithSpaces>9955</CharactersWithSpaces>
  <SharedDoc>false</SharedDoc>
  <HLinks>
    <vt:vector size="18" baseType="variant">
      <vt:variant>
        <vt:i4>1769527</vt:i4>
      </vt:variant>
      <vt:variant>
        <vt:i4>14</vt:i4>
      </vt:variant>
      <vt:variant>
        <vt:i4>0</vt:i4>
      </vt:variant>
      <vt:variant>
        <vt:i4>5</vt:i4>
      </vt:variant>
      <vt:variant>
        <vt:lpwstr/>
      </vt:variant>
      <vt:variant>
        <vt:lpwstr>_Toc264984975</vt:lpwstr>
      </vt:variant>
      <vt:variant>
        <vt:i4>1769527</vt:i4>
      </vt:variant>
      <vt:variant>
        <vt:i4>8</vt:i4>
      </vt:variant>
      <vt:variant>
        <vt:i4>0</vt:i4>
      </vt:variant>
      <vt:variant>
        <vt:i4>5</vt:i4>
      </vt:variant>
      <vt:variant>
        <vt:lpwstr/>
      </vt:variant>
      <vt:variant>
        <vt:lpwstr>_Toc264984974</vt:lpwstr>
      </vt:variant>
      <vt:variant>
        <vt:i4>1769527</vt:i4>
      </vt:variant>
      <vt:variant>
        <vt:i4>2</vt:i4>
      </vt:variant>
      <vt:variant>
        <vt:i4>0</vt:i4>
      </vt:variant>
      <vt:variant>
        <vt:i4>5</vt:i4>
      </vt:variant>
      <vt:variant>
        <vt:lpwstr/>
      </vt:variant>
      <vt:variant>
        <vt:lpwstr>_Toc264984973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Rural Road Audit Assistance Program Guidebook</dc:title>
  <dc:creator>vbeale</dc:creator>
  <cp:lastModifiedBy>Victoria Beale</cp:lastModifiedBy>
  <cp:revision>27</cp:revision>
  <cp:lastPrinted>2012-09-19T12:01:00Z</cp:lastPrinted>
  <dcterms:created xsi:type="dcterms:W3CDTF">2012-01-05T20:54:00Z</dcterms:created>
  <dcterms:modified xsi:type="dcterms:W3CDTF">2012-09-19T12:01:00Z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0x0101006902E93CA6245A4CB40E38A1AF2B68EC</vt:lpwstr>
  </property>
</Properties>
</file>